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0B2" w:rsidRPr="00B760B2" w:rsidRDefault="00B760B2" w:rsidP="00B760B2">
      <w:pPr>
        <w:spacing w:line="240" w:lineRule="auto"/>
        <w:ind w:firstLine="0"/>
        <w:jc w:val="center"/>
        <w:rPr>
          <w:rFonts w:ascii="Times New Roman" w:hAnsi="Times New Roman"/>
          <w:sz w:val="24"/>
          <w:szCs w:val="24"/>
          <w:lang w:val="en-US"/>
        </w:rPr>
      </w:pPr>
      <w:bookmarkStart w:id="0" w:name="_Toc391364351"/>
      <w:bookmarkStart w:id="1" w:name="_Toc391384804"/>
    </w:p>
    <w:tbl>
      <w:tblPr>
        <w:tblW w:w="9406" w:type="dxa"/>
        <w:tblBorders>
          <w:bottom w:val="single" w:sz="4" w:space="0" w:color="auto"/>
        </w:tblBorders>
        <w:tblLayout w:type="fixed"/>
        <w:tblLook w:val="0000" w:firstRow="0" w:lastRow="0" w:firstColumn="0" w:lastColumn="0" w:noHBand="0" w:noVBand="0"/>
      </w:tblPr>
      <w:tblGrid>
        <w:gridCol w:w="1939"/>
        <w:gridCol w:w="7467"/>
      </w:tblGrid>
      <w:tr w:rsidR="00B760B2" w:rsidRPr="00B760B2" w:rsidTr="00082432">
        <w:trPr>
          <w:trHeight w:val="1538"/>
        </w:trPr>
        <w:tc>
          <w:tcPr>
            <w:tcW w:w="1939" w:type="dxa"/>
          </w:tcPr>
          <w:p w:rsidR="00B760B2" w:rsidRPr="00B760B2" w:rsidRDefault="00B760B2" w:rsidP="00B760B2">
            <w:pPr>
              <w:spacing w:line="240" w:lineRule="auto"/>
              <w:ind w:firstLine="0"/>
              <w:jc w:val="center"/>
              <w:rPr>
                <w:rFonts w:ascii="Times New Roman" w:hAnsi="Times New Roman"/>
                <w:sz w:val="24"/>
                <w:szCs w:val="24"/>
                <w:lang w:val="en-GB"/>
              </w:rPr>
            </w:pPr>
            <w:r w:rsidRPr="00B760B2">
              <w:rPr>
                <w:rFonts w:ascii="Times New Roman" w:hAnsi="Times New Roman"/>
                <w:noProof/>
                <w:sz w:val="24"/>
                <w:szCs w:val="24"/>
                <w:lang w:val="en-US"/>
              </w:rPr>
              <w:drawing>
                <wp:inline distT="0" distB="0" distL="0" distR="0">
                  <wp:extent cx="901700" cy="965200"/>
                  <wp:effectExtent l="0" t="0" r="0" b="6350"/>
                  <wp:docPr id="1" name="Картина 1" descr="new logo variant 1 -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variant 1 - 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700" cy="965200"/>
                          </a:xfrm>
                          <a:prstGeom prst="rect">
                            <a:avLst/>
                          </a:prstGeom>
                          <a:noFill/>
                          <a:ln>
                            <a:noFill/>
                          </a:ln>
                        </pic:spPr>
                      </pic:pic>
                    </a:graphicData>
                  </a:graphic>
                </wp:inline>
              </w:drawing>
            </w:r>
          </w:p>
        </w:tc>
        <w:tc>
          <w:tcPr>
            <w:tcW w:w="7467" w:type="dxa"/>
          </w:tcPr>
          <w:p w:rsidR="00B760B2" w:rsidRPr="00B760B2" w:rsidRDefault="00B760B2" w:rsidP="00B760B2">
            <w:pPr>
              <w:spacing w:line="240" w:lineRule="auto"/>
              <w:ind w:firstLine="0"/>
              <w:jc w:val="center"/>
              <w:rPr>
                <w:rFonts w:ascii="Times New Roman" w:hAnsi="Times New Roman"/>
                <w:sz w:val="24"/>
                <w:szCs w:val="24"/>
                <w:lang w:val="ru-RU"/>
              </w:rPr>
            </w:pPr>
            <w:r w:rsidRPr="00B760B2">
              <w:rPr>
                <w:rFonts w:ascii="Times New Roman" w:hAnsi="Times New Roman"/>
                <w:sz w:val="24"/>
                <w:szCs w:val="24"/>
                <w:lang w:val="en-GB"/>
              </w:rPr>
              <w:t>BULGARIAN</w:t>
            </w:r>
            <w:r w:rsidRPr="00B760B2">
              <w:rPr>
                <w:rFonts w:ascii="Times New Roman" w:hAnsi="Times New Roman"/>
                <w:sz w:val="24"/>
                <w:szCs w:val="24"/>
                <w:lang w:val="ru-RU"/>
              </w:rPr>
              <w:t xml:space="preserve"> </w:t>
            </w:r>
            <w:r w:rsidRPr="00B760B2">
              <w:rPr>
                <w:rFonts w:ascii="Times New Roman" w:hAnsi="Times New Roman"/>
                <w:sz w:val="24"/>
                <w:szCs w:val="24"/>
                <w:lang w:val="en-GB"/>
              </w:rPr>
              <w:t>ACADEMY</w:t>
            </w:r>
            <w:r w:rsidRPr="00B760B2">
              <w:rPr>
                <w:rFonts w:ascii="Times New Roman" w:hAnsi="Times New Roman"/>
                <w:sz w:val="24"/>
                <w:szCs w:val="24"/>
                <w:lang w:val="ru-RU"/>
              </w:rPr>
              <w:t xml:space="preserve"> </w:t>
            </w:r>
            <w:r w:rsidRPr="00B760B2">
              <w:rPr>
                <w:rFonts w:ascii="Times New Roman" w:hAnsi="Times New Roman"/>
                <w:sz w:val="24"/>
                <w:szCs w:val="24"/>
                <w:lang w:val="en-GB"/>
              </w:rPr>
              <w:t>OF</w:t>
            </w:r>
            <w:r w:rsidRPr="00B760B2">
              <w:rPr>
                <w:rFonts w:ascii="Times New Roman" w:hAnsi="Times New Roman"/>
                <w:sz w:val="24"/>
                <w:szCs w:val="24"/>
                <w:lang w:val="ru-RU"/>
              </w:rPr>
              <w:t xml:space="preserve"> </w:t>
            </w:r>
            <w:r w:rsidRPr="00B760B2">
              <w:rPr>
                <w:rFonts w:ascii="Times New Roman" w:hAnsi="Times New Roman"/>
                <w:sz w:val="24"/>
                <w:szCs w:val="24"/>
                <w:lang w:val="en-GB"/>
              </w:rPr>
              <w:t>SCIENCES</w:t>
            </w:r>
          </w:p>
          <w:p w:rsidR="00B760B2" w:rsidRPr="00B760B2" w:rsidRDefault="00B760B2" w:rsidP="00B760B2">
            <w:pPr>
              <w:spacing w:line="240" w:lineRule="auto"/>
              <w:ind w:firstLine="0"/>
              <w:jc w:val="center"/>
              <w:rPr>
                <w:rFonts w:ascii="Times New Roman" w:hAnsi="Times New Roman"/>
                <w:bCs/>
                <w:sz w:val="24"/>
                <w:szCs w:val="24"/>
                <w:lang w:val="en-US"/>
              </w:rPr>
            </w:pPr>
            <w:r w:rsidRPr="00B760B2">
              <w:rPr>
                <w:rFonts w:ascii="Times New Roman" w:hAnsi="Times New Roman"/>
                <w:bCs/>
                <w:sz w:val="24"/>
                <w:szCs w:val="24"/>
                <w:lang w:val="en-US"/>
              </w:rPr>
              <w:t xml:space="preserve">NATIONAL INSTITUTE OF GEOPHYSICS, </w:t>
            </w:r>
          </w:p>
          <w:p w:rsidR="00B760B2" w:rsidRPr="00B760B2" w:rsidRDefault="00B760B2" w:rsidP="00B760B2">
            <w:pPr>
              <w:spacing w:line="240" w:lineRule="auto"/>
              <w:ind w:firstLine="0"/>
              <w:jc w:val="center"/>
              <w:rPr>
                <w:rFonts w:ascii="Times New Roman" w:hAnsi="Times New Roman"/>
                <w:bCs/>
                <w:sz w:val="24"/>
                <w:szCs w:val="24"/>
                <w:lang w:val="en-US"/>
              </w:rPr>
            </w:pPr>
            <w:r w:rsidRPr="00B760B2">
              <w:rPr>
                <w:rFonts w:ascii="Times New Roman" w:hAnsi="Times New Roman"/>
                <w:bCs/>
                <w:sz w:val="24"/>
                <w:szCs w:val="24"/>
                <w:lang w:val="en-US"/>
              </w:rPr>
              <w:t>GEODESY AND GEOGRAPHY</w:t>
            </w:r>
          </w:p>
          <w:p w:rsidR="00B760B2" w:rsidRPr="00B760B2" w:rsidRDefault="00B760B2" w:rsidP="00B760B2">
            <w:pPr>
              <w:spacing w:line="240" w:lineRule="auto"/>
              <w:ind w:firstLine="0"/>
              <w:jc w:val="center"/>
              <w:rPr>
                <w:rFonts w:ascii="Times New Roman" w:hAnsi="Times New Roman"/>
                <w:sz w:val="24"/>
                <w:szCs w:val="24"/>
              </w:rPr>
            </w:pPr>
            <w:r w:rsidRPr="00B760B2">
              <w:rPr>
                <w:rFonts w:ascii="Times New Roman" w:hAnsi="Times New Roman"/>
                <w:sz w:val="24"/>
                <w:szCs w:val="24"/>
                <w:lang w:val="en-GB"/>
              </w:rPr>
              <w:t>Sofia</w:t>
            </w:r>
            <w:r w:rsidRPr="00B760B2">
              <w:rPr>
                <w:rFonts w:ascii="Times New Roman" w:hAnsi="Times New Roman"/>
                <w:sz w:val="24"/>
                <w:szCs w:val="24"/>
              </w:rPr>
              <w:t xml:space="preserve"> 1113, </w:t>
            </w:r>
            <w:r w:rsidRPr="00B760B2">
              <w:rPr>
                <w:rFonts w:ascii="Times New Roman" w:hAnsi="Times New Roman"/>
                <w:sz w:val="24"/>
                <w:szCs w:val="24"/>
                <w:lang w:val="en-GB"/>
              </w:rPr>
              <w:t>Acad</w:t>
            </w:r>
            <w:r w:rsidRPr="00B760B2">
              <w:rPr>
                <w:rFonts w:ascii="Times New Roman" w:hAnsi="Times New Roman"/>
                <w:sz w:val="24"/>
                <w:szCs w:val="24"/>
              </w:rPr>
              <w:t xml:space="preserve">. </w:t>
            </w:r>
            <w:r w:rsidRPr="00B760B2">
              <w:rPr>
                <w:rFonts w:ascii="Times New Roman" w:hAnsi="Times New Roman"/>
                <w:sz w:val="24"/>
                <w:szCs w:val="24"/>
                <w:lang w:val="en-GB"/>
              </w:rPr>
              <w:t>G</w:t>
            </w:r>
            <w:r w:rsidRPr="00B760B2">
              <w:rPr>
                <w:rFonts w:ascii="Times New Roman" w:hAnsi="Times New Roman"/>
                <w:sz w:val="24"/>
                <w:szCs w:val="24"/>
              </w:rPr>
              <w:t xml:space="preserve">. </w:t>
            </w:r>
            <w:r w:rsidRPr="00B760B2">
              <w:rPr>
                <w:rFonts w:ascii="Times New Roman" w:hAnsi="Times New Roman"/>
                <w:sz w:val="24"/>
                <w:szCs w:val="24"/>
                <w:lang w:val="en-GB"/>
              </w:rPr>
              <w:t>Bonchev</w:t>
            </w:r>
            <w:r w:rsidRPr="00B760B2">
              <w:rPr>
                <w:rFonts w:ascii="Times New Roman" w:hAnsi="Times New Roman"/>
                <w:sz w:val="24"/>
                <w:szCs w:val="24"/>
              </w:rPr>
              <w:t xml:space="preserve"> </w:t>
            </w:r>
            <w:r w:rsidRPr="00B760B2">
              <w:rPr>
                <w:rFonts w:ascii="Times New Roman" w:hAnsi="Times New Roman"/>
                <w:sz w:val="24"/>
                <w:szCs w:val="24"/>
                <w:lang w:val="en-GB"/>
              </w:rPr>
              <w:t>Str</w:t>
            </w:r>
            <w:r w:rsidRPr="00B760B2">
              <w:rPr>
                <w:rFonts w:ascii="Times New Roman" w:hAnsi="Times New Roman"/>
                <w:sz w:val="24"/>
                <w:szCs w:val="24"/>
              </w:rPr>
              <w:t xml:space="preserve">., </w:t>
            </w:r>
            <w:r w:rsidRPr="00B760B2">
              <w:rPr>
                <w:rFonts w:ascii="Times New Roman" w:hAnsi="Times New Roman"/>
                <w:sz w:val="24"/>
                <w:szCs w:val="24"/>
                <w:lang w:val="en-GB"/>
              </w:rPr>
              <w:t>bl</w:t>
            </w:r>
            <w:r w:rsidRPr="00B760B2">
              <w:rPr>
                <w:rFonts w:ascii="Times New Roman" w:hAnsi="Times New Roman"/>
                <w:sz w:val="24"/>
                <w:szCs w:val="24"/>
              </w:rPr>
              <w:t xml:space="preserve">.3, tel: (+3592)9793322, fax: (+3592)9713005, </w:t>
            </w:r>
            <w:r w:rsidRPr="00B760B2">
              <w:rPr>
                <w:rFonts w:ascii="Times New Roman" w:hAnsi="Times New Roman"/>
                <w:sz w:val="24"/>
                <w:szCs w:val="24"/>
              </w:rPr>
              <w:br/>
              <w:t>www.</w:t>
            </w:r>
            <w:r w:rsidRPr="00B760B2">
              <w:rPr>
                <w:rFonts w:ascii="Times New Roman" w:hAnsi="Times New Roman"/>
                <w:sz w:val="24"/>
                <w:szCs w:val="24"/>
                <w:lang w:val="en-US"/>
              </w:rPr>
              <w:t>niggg</w:t>
            </w:r>
            <w:r w:rsidRPr="00B760B2">
              <w:rPr>
                <w:rFonts w:ascii="Times New Roman" w:hAnsi="Times New Roman"/>
                <w:sz w:val="24"/>
                <w:szCs w:val="24"/>
              </w:rPr>
              <w:t xml:space="preserve">.bas.bg, </w:t>
            </w:r>
            <w:r w:rsidRPr="00B760B2">
              <w:rPr>
                <w:rFonts w:ascii="Times New Roman" w:hAnsi="Times New Roman"/>
                <w:sz w:val="24"/>
                <w:szCs w:val="24"/>
                <w:lang w:val="en-GB"/>
              </w:rPr>
              <w:t>e</w:t>
            </w:r>
            <w:r w:rsidRPr="00B760B2">
              <w:rPr>
                <w:rFonts w:ascii="Times New Roman" w:hAnsi="Times New Roman"/>
                <w:sz w:val="24"/>
                <w:szCs w:val="24"/>
              </w:rPr>
              <w:t>-</w:t>
            </w:r>
            <w:r w:rsidRPr="00B760B2">
              <w:rPr>
                <w:rFonts w:ascii="Times New Roman" w:hAnsi="Times New Roman"/>
                <w:sz w:val="24"/>
                <w:szCs w:val="24"/>
                <w:lang w:val="en-GB"/>
              </w:rPr>
              <w:t>mail</w:t>
            </w:r>
            <w:r w:rsidRPr="00B760B2">
              <w:rPr>
                <w:rFonts w:ascii="Times New Roman" w:hAnsi="Times New Roman"/>
                <w:sz w:val="24"/>
                <w:szCs w:val="24"/>
              </w:rPr>
              <w:t xml:space="preserve">: </w:t>
            </w:r>
            <w:r w:rsidRPr="00B760B2">
              <w:rPr>
                <w:rFonts w:ascii="Times New Roman" w:hAnsi="Times New Roman"/>
                <w:sz w:val="24"/>
                <w:szCs w:val="24"/>
                <w:lang w:val="en-GB"/>
              </w:rPr>
              <w:t>office</w:t>
            </w:r>
            <w:r w:rsidRPr="00B760B2">
              <w:rPr>
                <w:rFonts w:ascii="Times New Roman" w:hAnsi="Times New Roman"/>
                <w:sz w:val="24"/>
                <w:szCs w:val="24"/>
              </w:rPr>
              <w:t>@</w:t>
            </w:r>
            <w:r w:rsidRPr="00B760B2">
              <w:rPr>
                <w:rFonts w:ascii="Times New Roman" w:hAnsi="Times New Roman"/>
                <w:sz w:val="24"/>
                <w:szCs w:val="24"/>
                <w:lang w:val="en-GB"/>
              </w:rPr>
              <w:t>geophys</w:t>
            </w:r>
            <w:r w:rsidRPr="00B760B2">
              <w:rPr>
                <w:rFonts w:ascii="Times New Roman" w:hAnsi="Times New Roman"/>
                <w:sz w:val="24"/>
                <w:szCs w:val="24"/>
              </w:rPr>
              <w:t>.</w:t>
            </w:r>
            <w:r w:rsidRPr="00B760B2">
              <w:rPr>
                <w:rFonts w:ascii="Times New Roman" w:hAnsi="Times New Roman"/>
                <w:sz w:val="24"/>
                <w:szCs w:val="24"/>
                <w:lang w:val="en-GB"/>
              </w:rPr>
              <w:t>bas</w:t>
            </w:r>
            <w:r w:rsidRPr="00B760B2">
              <w:rPr>
                <w:rFonts w:ascii="Times New Roman" w:hAnsi="Times New Roman"/>
                <w:sz w:val="24"/>
                <w:szCs w:val="24"/>
              </w:rPr>
              <w:t>.</w:t>
            </w:r>
            <w:r w:rsidRPr="00B760B2">
              <w:rPr>
                <w:rFonts w:ascii="Times New Roman" w:hAnsi="Times New Roman"/>
                <w:sz w:val="24"/>
                <w:szCs w:val="24"/>
                <w:lang w:val="en-GB"/>
              </w:rPr>
              <w:t>bg</w:t>
            </w:r>
          </w:p>
        </w:tc>
      </w:tr>
    </w:tbl>
    <w:p w:rsidR="00B760B2" w:rsidRPr="00B760B2" w:rsidRDefault="00B760B2" w:rsidP="00B760B2">
      <w:pPr>
        <w:spacing w:line="240" w:lineRule="auto"/>
        <w:ind w:firstLine="0"/>
        <w:jc w:val="center"/>
        <w:rPr>
          <w:rFonts w:ascii="Times New Roman" w:hAnsi="Times New Roman"/>
          <w:sz w:val="24"/>
          <w:szCs w:val="24"/>
        </w:rPr>
      </w:pPr>
    </w:p>
    <w:p w:rsidR="003461BE" w:rsidRPr="00DD7EE3" w:rsidRDefault="003461BE" w:rsidP="003461BE">
      <w:pPr>
        <w:spacing w:line="240" w:lineRule="auto"/>
        <w:ind w:firstLine="0"/>
        <w:jc w:val="center"/>
        <w:rPr>
          <w:rFonts w:ascii="Times New Roman" w:hAnsi="Times New Roman"/>
          <w:sz w:val="24"/>
          <w:szCs w:val="24"/>
          <w:lang w:val="en-US"/>
        </w:rPr>
      </w:pPr>
    </w:p>
    <w:p w:rsidR="00CD3AB8" w:rsidRPr="003B100A" w:rsidRDefault="00CD3AB8" w:rsidP="00CD3AB8">
      <w:pPr>
        <w:spacing w:line="240" w:lineRule="auto"/>
        <w:ind w:firstLine="0"/>
        <w:rPr>
          <w:rFonts w:ascii="Times New Roman" w:hAnsi="Times New Roman"/>
          <w:sz w:val="24"/>
          <w:szCs w:val="24"/>
        </w:rPr>
      </w:pPr>
    </w:p>
    <w:p w:rsidR="00CD3AB8" w:rsidRDefault="00CD3AB8" w:rsidP="00CD3AB8">
      <w:pPr>
        <w:spacing w:line="240" w:lineRule="auto"/>
        <w:ind w:firstLine="0"/>
        <w:rPr>
          <w:rFonts w:ascii="Times New Roman" w:hAnsi="Times New Roman"/>
          <w:sz w:val="24"/>
          <w:szCs w:val="24"/>
          <w:lang w:val="en-US"/>
        </w:rPr>
      </w:pPr>
    </w:p>
    <w:p w:rsidR="00A65B5B" w:rsidRDefault="00A65B5B" w:rsidP="00CD3AB8">
      <w:pPr>
        <w:spacing w:line="240" w:lineRule="auto"/>
        <w:ind w:firstLine="0"/>
        <w:rPr>
          <w:rFonts w:ascii="Times New Roman" w:hAnsi="Times New Roman"/>
          <w:sz w:val="24"/>
          <w:szCs w:val="24"/>
          <w:lang w:val="en-US"/>
        </w:rPr>
      </w:pPr>
    </w:p>
    <w:p w:rsidR="00A65B5B" w:rsidRDefault="00A65B5B" w:rsidP="00CD3AB8">
      <w:pPr>
        <w:spacing w:line="240" w:lineRule="auto"/>
        <w:ind w:firstLine="0"/>
        <w:rPr>
          <w:rFonts w:ascii="Times New Roman" w:hAnsi="Times New Roman"/>
          <w:sz w:val="24"/>
          <w:szCs w:val="24"/>
          <w:lang w:val="en-US"/>
        </w:rPr>
      </w:pPr>
    </w:p>
    <w:p w:rsidR="00A65B5B" w:rsidRDefault="00A65B5B" w:rsidP="00CD3AB8">
      <w:pPr>
        <w:spacing w:line="240" w:lineRule="auto"/>
        <w:ind w:firstLine="0"/>
        <w:rPr>
          <w:rFonts w:ascii="Times New Roman" w:hAnsi="Times New Roman"/>
          <w:sz w:val="24"/>
          <w:szCs w:val="24"/>
          <w:lang w:val="en-US"/>
        </w:rPr>
      </w:pPr>
    </w:p>
    <w:p w:rsidR="00A65B5B" w:rsidRDefault="00A65B5B" w:rsidP="00CD3AB8">
      <w:pPr>
        <w:spacing w:line="240" w:lineRule="auto"/>
        <w:ind w:firstLine="0"/>
        <w:rPr>
          <w:rFonts w:ascii="Times New Roman" w:hAnsi="Times New Roman"/>
          <w:sz w:val="24"/>
          <w:szCs w:val="24"/>
          <w:lang w:val="en-US"/>
        </w:rPr>
      </w:pPr>
    </w:p>
    <w:p w:rsidR="00A65B5B" w:rsidRPr="00A65B5B" w:rsidRDefault="00A65B5B" w:rsidP="00CD3AB8">
      <w:pPr>
        <w:spacing w:line="240" w:lineRule="auto"/>
        <w:ind w:firstLine="0"/>
        <w:rPr>
          <w:rFonts w:ascii="Times New Roman" w:hAnsi="Times New Roman"/>
          <w:sz w:val="24"/>
          <w:szCs w:val="24"/>
          <w:lang w:val="en-US"/>
        </w:rPr>
      </w:pPr>
    </w:p>
    <w:p w:rsidR="00CD3AB8" w:rsidRPr="003B100A" w:rsidRDefault="00CD3AB8" w:rsidP="00CD3AB8">
      <w:pPr>
        <w:spacing w:line="240" w:lineRule="auto"/>
        <w:ind w:firstLine="0"/>
        <w:rPr>
          <w:rFonts w:ascii="Times New Roman" w:hAnsi="Times New Roman"/>
          <w:sz w:val="24"/>
          <w:szCs w:val="24"/>
        </w:rPr>
      </w:pPr>
    </w:p>
    <w:p w:rsidR="00CD3AB8" w:rsidRPr="003B100A" w:rsidRDefault="00CD3AB8" w:rsidP="00CD3AB8">
      <w:pPr>
        <w:spacing w:line="240" w:lineRule="auto"/>
        <w:ind w:firstLine="0"/>
        <w:rPr>
          <w:rFonts w:ascii="Times New Roman" w:hAnsi="Times New Roman"/>
          <w:sz w:val="24"/>
          <w:szCs w:val="24"/>
        </w:rPr>
      </w:pPr>
    </w:p>
    <w:p w:rsidR="00CD3AB8" w:rsidRPr="00A65B5B" w:rsidRDefault="00B760B2" w:rsidP="00B760B2">
      <w:pPr>
        <w:spacing w:line="240" w:lineRule="auto"/>
        <w:ind w:firstLine="0"/>
        <w:jc w:val="center"/>
        <w:rPr>
          <w:rFonts w:ascii="Times New Roman" w:hAnsi="Times New Roman"/>
          <w:b/>
          <w:sz w:val="48"/>
          <w:szCs w:val="48"/>
          <w:lang w:val="en-US"/>
        </w:rPr>
      </w:pPr>
      <w:r w:rsidRPr="00A65B5B">
        <w:rPr>
          <w:rFonts w:ascii="Times New Roman" w:hAnsi="Times New Roman"/>
          <w:b/>
          <w:sz w:val="48"/>
          <w:szCs w:val="48"/>
          <w:lang w:val="en-US"/>
        </w:rPr>
        <w:t>FINAL REVIEW REPORT</w:t>
      </w:r>
    </w:p>
    <w:p w:rsidR="00CD3AB8" w:rsidRDefault="00CD3AB8"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B760B2" w:rsidRDefault="00B760B2" w:rsidP="00CD3AB8">
      <w:pPr>
        <w:spacing w:line="240" w:lineRule="auto"/>
        <w:ind w:firstLine="0"/>
        <w:rPr>
          <w:rFonts w:ascii="Times New Roman" w:hAnsi="Times New Roman"/>
          <w:sz w:val="24"/>
          <w:szCs w:val="24"/>
          <w:lang w:val="en-US"/>
        </w:rPr>
      </w:pPr>
    </w:p>
    <w:p w:rsidR="00B760B2" w:rsidRDefault="00B760B2" w:rsidP="00CD3AB8">
      <w:pPr>
        <w:spacing w:line="240" w:lineRule="auto"/>
        <w:ind w:firstLine="0"/>
        <w:rPr>
          <w:rFonts w:ascii="Times New Roman" w:hAnsi="Times New Roman"/>
          <w:sz w:val="24"/>
          <w:szCs w:val="24"/>
          <w:lang w:val="en-US"/>
        </w:rPr>
      </w:pPr>
    </w:p>
    <w:p w:rsidR="00B760B2" w:rsidRPr="00A65B5B" w:rsidRDefault="00B760B2" w:rsidP="007E05F4">
      <w:pPr>
        <w:spacing w:after="120" w:line="240" w:lineRule="auto"/>
        <w:ind w:firstLine="0"/>
        <w:jc w:val="center"/>
        <w:rPr>
          <w:rFonts w:ascii="Times New Roman" w:hAnsi="Times New Roman"/>
          <w:iCs/>
          <w:sz w:val="36"/>
          <w:szCs w:val="36"/>
          <w:lang w:val="en-US"/>
        </w:rPr>
      </w:pPr>
      <w:r w:rsidRPr="00A65B5B">
        <w:rPr>
          <w:rFonts w:ascii="Times New Roman" w:hAnsi="Times New Roman"/>
          <w:iCs/>
          <w:sz w:val="36"/>
          <w:szCs w:val="36"/>
          <w:lang w:val="en-US"/>
        </w:rPr>
        <w:t>of project</w:t>
      </w:r>
    </w:p>
    <w:p w:rsidR="005F131A" w:rsidRPr="00A65B5B" w:rsidRDefault="00B760B2" w:rsidP="00B760B2">
      <w:pPr>
        <w:spacing w:line="240" w:lineRule="auto"/>
        <w:ind w:firstLine="0"/>
        <w:jc w:val="center"/>
        <w:rPr>
          <w:rFonts w:ascii="Times New Roman" w:hAnsi="Times New Roman"/>
          <w:sz w:val="36"/>
          <w:szCs w:val="36"/>
          <w:lang w:val="en-US"/>
        </w:rPr>
      </w:pPr>
      <w:r w:rsidRPr="00A65B5B">
        <w:rPr>
          <w:rFonts w:ascii="Times New Roman" w:hAnsi="Times New Roman"/>
          <w:iCs/>
          <w:sz w:val="36"/>
          <w:szCs w:val="36"/>
          <w:lang w:val="en-US"/>
        </w:rPr>
        <w:t>“Probabilistic seismic risk assessment and seismic safety improvement recommendations for pre-1990 multi- family housing structures in Bulgaria and broader Europe Central Asia region”</w:t>
      </w:r>
    </w:p>
    <w:p w:rsidR="005F131A" w:rsidRPr="00A65B5B" w:rsidRDefault="005F131A" w:rsidP="00CD3AB8">
      <w:pPr>
        <w:spacing w:line="240" w:lineRule="auto"/>
        <w:ind w:firstLine="0"/>
        <w:rPr>
          <w:rFonts w:ascii="Times New Roman" w:hAnsi="Times New Roman"/>
          <w:sz w:val="36"/>
          <w:szCs w:val="36"/>
          <w:lang w:val="en-US"/>
        </w:rPr>
      </w:pP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Pr="00A65B5B" w:rsidRDefault="00B760B2" w:rsidP="00B760B2">
      <w:pPr>
        <w:spacing w:line="240" w:lineRule="auto"/>
        <w:ind w:firstLine="0"/>
        <w:jc w:val="center"/>
        <w:rPr>
          <w:rFonts w:ascii="Times New Roman" w:hAnsi="Times New Roman"/>
          <w:sz w:val="36"/>
          <w:szCs w:val="36"/>
          <w:lang w:val="en-US"/>
        </w:rPr>
      </w:pPr>
      <w:r w:rsidRPr="00A65B5B">
        <w:rPr>
          <w:rFonts w:ascii="Times New Roman" w:hAnsi="Times New Roman"/>
          <w:sz w:val="36"/>
          <w:szCs w:val="36"/>
          <w:lang w:val="en-US"/>
        </w:rPr>
        <w:t xml:space="preserve">Employer: </w:t>
      </w:r>
      <w:r w:rsidR="00A21382">
        <w:rPr>
          <w:rFonts w:ascii="Times New Roman" w:hAnsi="Times New Roman"/>
          <w:sz w:val="36"/>
          <w:szCs w:val="36"/>
          <w:lang w:val="en-US"/>
        </w:rPr>
        <w:t xml:space="preserve">The </w:t>
      </w:r>
      <w:r w:rsidRPr="00A65B5B">
        <w:rPr>
          <w:rFonts w:ascii="Times New Roman" w:hAnsi="Times New Roman"/>
          <w:sz w:val="36"/>
          <w:szCs w:val="36"/>
          <w:lang w:val="en-US"/>
        </w:rPr>
        <w:t>World Bank</w:t>
      </w: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Pr="00494EC8" w:rsidRDefault="00235B0C" w:rsidP="00235B0C">
      <w:pPr>
        <w:spacing w:line="240" w:lineRule="auto"/>
        <w:ind w:firstLine="0"/>
        <w:jc w:val="center"/>
        <w:rPr>
          <w:rFonts w:ascii="Times New Roman" w:hAnsi="Times New Roman"/>
          <w:sz w:val="28"/>
          <w:szCs w:val="28"/>
          <w:lang w:val="en-US"/>
        </w:rPr>
      </w:pPr>
      <w:r w:rsidRPr="00494EC8">
        <w:rPr>
          <w:rFonts w:ascii="Times New Roman" w:hAnsi="Times New Roman"/>
          <w:sz w:val="28"/>
          <w:szCs w:val="28"/>
          <w:lang w:val="en-US"/>
        </w:rPr>
        <w:t>Revision A</w:t>
      </w: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5F131A" w:rsidRDefault="005F131A" w:rsidP="00CD3AB8">
      <w:pPr>
        <w:spacing w:line="240" w:lineRule="auto"/>
        <w:ind w:firstLine="0"/>
        <w:rPr>
          <w:rFonts w:ascii="Times New Roman" w:hAnsi="Times New Roman"/>
          <w:sz w:val="24"/>
          <w:szCs w:val="24"/>
          <w:lang w:val="en-US"/>
        </w:rPr>
      </w:pPr>
    </w:p>
    <w:p w:rsidR="00CD3AB8" w:rsidRPr="00B760B2" w:rsidRDefault="00B760B2" w:rsidP="00CD3AB8">
      <w:pPr>
        <w:pStyle w:val="Style1"/>
        <w:tabs>
          <w:tab w:val="left" w:pos="5400"/>
        </w:tabs>
        <w:spacing w:after="60" w:line="240" w:lineRule="auto"/>
        <w:ind w:firstLine="0"/>
        <w:jc w:val="center"/>
        <w:rPr>
          <w:rFonts w:ascii="Times New Roman" w:hAnsi="Times New Roman"/>
          <w:sz w:val="28"/>
          <w:szCs w:val="28"/>
          <w:lang w:val="en-US"/>
        </w:rPr>
      </w:pPr>
      <w:r w:rsidRPr="00B760B2">
        <w:rPr>
          <w:rFonts w:ascii="Times New Roman" w:hAnsi="Times New Roman"/>
          <w:sz w:val="28"/>
          <w:szCs w:val="28"/>
          <w:lang w:val="en-US"/>
        </w:rPr>
        <w:t>March 2019</w:t>
      </w:r>
    </w:p>
    <w:p w:rsidR="00CD3AB8" w:rsidRPr="00B760B2" w:rsidRDefault="00CD3AB8" w:rsidP="00CD3AB8">
      <w:pPr>
        <w:pStyle w:val="Style1"/>
        <w:tabs>
          <w:tab w:val="left" w:pos="6600"/>
        </w:tabs>
        <w:spacing w:line="240" w:lineRule="auto"/>
        <w:ind w:firstLine="0"/>
        <w:jc w:val="center"/>
        <w:rPr>
          <w:rFonts w:ascii="Times New Roman" w:hAnsi="Times New Roman"/>
          <w:b/>
          <w:sz w:val="28"/>
          <w:szCs w:val="28"/>
        </w:rPr>
      </w:pPr>
      <w:r w:rsidRPr="00B760B2">
        <w:rPr>
          <w:rFonts w:ascii="Times New Roman" w:hAnsi="Times New Roman"/>
          <w:sz w:val="28"/>
          <w:szCs w:val="28"/>
          <w:lang w:val="en-US"/>
        </w:rPr>
        <w:t>Sofia</w:t>
      </w:r>
    </w:p>
    <w:p w:rsidR="00066A27" w:rsidRDefault="009A15E9" w:rsidP="009A15E9">
      <w:pPr>
        <w:pStyle w:val="HMstileChar"/>
        <w:ind w:firstLine="0"/>
        <w:jc w:val="center"/>
        <w:rPr>
          <w:lang w:val="en-US"/>
        </w:rPr>
      </w:pPr>
      <w:r>
        <w:br w:type="page"/>
      </w:r>
    </w:p>
    <w:p w:rsidR="00066A27" w:rsidRDefault="00066A27" w:rsidP="009A15E9">
      <w:pPr>
        <w:pStyle w:val="HMstileChar"/>
        <w:ind w:firstLine="0"/>
        <w:jc w:val="center"/>
        <w:rPr>
          <w:lang w:val="en-US"/>
        </w:rPr>
      </w:pPr>
    </w:p>
    <w:p w:rsidR="000D57E7" w:rsidRDefault="000D57E7" w:rsidP="009A15E9">
      <w:pPr>
        <w:pStyle w:val="HMstileChar"/>
        <w:ind w:firstLine="0"/>
        <w:jc w:val="center"/>
        <w:rPr>
          <w:lang w:val="en-US"/>
        </w:rPr>
      </w:pPr>
    </w:p>
    <w:p w:rsidR="000D57E7" w:rsidRDefault="000D57E7" w:rsidP="009A15E9">
      <w:pPr>
        <w:pStyle w:val="HMstileChar"/>
        <w:ind w:firstLine="0"/>
        <w:jc w:val="center"/>
        <w:rPr>
          <w:lang w:val="en-US"/>
        </w:rPr>
      </w:pPr>
    </w:p>
    <w:p w:rsidR="000D57E7" w:rsidRDefault="000D57E7" w:rsidP="009A15E9">
      <w:pPr>
        <w:pStyle w:val="HMstileChar"/>
        <w:ind w:firstLine="0"/>
        <w:jc w:val="center"/>
        <w:rPr>
          <w:lang w:val="en-US"/>
        </w:rPr>
      </w:pPr>
    </w:p>
    <w:p w:rsidR="000D57E7" w:rsidRDefault="000D57E7" w:rsidP="009A15E9">
      <w:pPr>
        <w:pStyle w:val="HMstileChar"/>
        <w:ind w:firstLine="0"/>
        <w:jc w:val="center"/>
        <w:rPr>
          <w:lang w:val="en-US"/>
        </w:rPr>
      </w:pPr>
    </w:p>
    <w:p w:rsidR="000D57E7" w:rsidRDefault="000D57E7" w:rsidP="009A15E9">
      <w:pPr>
        <w:pStyle w:val="HMstileChar"/>
        <w:ind w:firstLine="0"/>
        <w:jc w:val="center"/>
        <w:rPr>
          <w:lang w:val="en-US"/>
        </w:rPr>
      </w:pPr>
    </w:p>
    <w:p w:rsidR="009A15E9" w:rsidRPr="008B1747" w:rsidRDefault="008B1747" w:rsidP="009A15E9">
      <w:pPr>
        <w:pStyle w:val="HMstileChar"/>
        <w:ind w:firstLine="0"/>
        <w:jc w:val="center"/>
        <w:rPr>
          <w:rFonts w:ascii="Times New Roman" w:hAnsi="Times New Roman"/>
          <w:b/>
          <w:sz w:val="24"/>
          <w:szCs w:val="24"/>
          <w:lang w:val="en-US"/>
        </w:rPr>
      </w:pPr>
      <w:r>
        <w:rPr>
          <w:rFonts w:ascii="Times New Roman" w:hAnsi="Times New Roman"/>
          <w:b/>
          <w:sz w:val="24"/>
          <w:szCs w:val="24"/>
          <w:lang w:val="en-US"/>
        </w:rPr>
        <w:t>TABLE OF CONTENTS</w:t>
      </w:r>
    </w:p>
    <w:p w:rsidR="004B0672" w:rsidRPr="00FF7543" w:rsidRDefault="009A15E9">
      <w:pPr>
        <w:pStyle w:val="TOC1"/>
        <w:rPr>
          <w:rFonts w:ascii="Times New Roman" w:eastAsiaTheme="minorEastAsia" w:hAnsi="Times New Roman"/>
          <w:b w:val="0"/>
          <w:caps w:val="0"/>
          <w:sz w:val="24"/>
          <w:szCs w:val="24"/>
          <w:lang w:val="en-US" w:eastAsia="bg-BG"/>
        </w:rPr>
      </w:pPr>
      <w:r w:rsidRPr="004B0672">
        <w:rPr>
          <w:rFonts w:ascii="Times New Roman" w:hAnsi="Times New Roman"/>
          <w:sz w:val="24"/>
          <w:szCs w:val="24"/>
        </w:rPr>
        <w:fldChar w:fldCharType="begin"/>
      </w:r>
      <w:r w:rsidRPr="004B0672">
        <w:rPr>
          <w:rFonts w:ascii="Times New Roman" w:hAnsi="Times New Roman"/>
          <w:sz w:val="24"/>
          <w:szCs w:val="24"/>
        </w:rPr>
        <w:instrText xml:space="preserve"> TOC \o "1-2" </w:instrText>
      </w:r>
      <w:r w:rsidRPr="004B0672">
        <w:rPr>
          <w:rFonts w:ascii="Times New Roman" w:hAnsi="Times New Roman"/>
          <w:sz w:val="24"/>
          <w:szCs w:val="24"/>
        </w:rPr>
        <w:fldChar w:fldCharType="separate"/>
      </w:r>
      <w:r w:rsidR="004B0672" w:rsidRPr="004B0672">
        <w:rPr>
          <w:rFonts w:ascii="Times New Roman" w:hAnsi="Times New Roman"/>
          <w:sz w:val="24"/>
          <w:szCs w:val="24"/>
        </w:rPr>
        <w:t>1.</w:t>
      </w:r>
      <w:r w:rsidR="004B0672" w:rsidRPr="004B0672">
        <w:rPr>
          <w:rFonts w:ascii="Times New Roman" w:eastAsiaTheme="minorEastAsia" w:hAnsi="Times New Roman"/>
          <w:b w:val="0"/>
          <w:caps w:val="0"/>
          <w:sz w:val="24"/>
          <w:szCs w:val="24"/>
          <w:lang w:eastAsia="bg-BG"/>
        </w:rPr>
        <w:tab/>
      </w:r>
      <w:r w:rsidR="004B0672" w:rsidRPr="004B0672">
        <w:rPr>
          <w:rFonts w:ascii="Times New Roman" w:hAnsi="Times New Roman"/>
          <w:sz w:val="24"/>
          <w:szCs w:val="24"/>
        </w:rPr>
        <w:t>Introduction</w:t>
      </w:r>
      <w:r w:rsidR="004B0672" w:rsidRPr="004B0672">
        <w:rPr>
          <w:rFonts w:ascii="Times New Roman" w:hAnsi="Times New Roman"/>
          <w:sz w:val="24"/>
          <w:szCs w:val="24"/>
        </w:rPr>
        <w:tab/>
      </w:r>
      <w:r w:rsidR="00FF7543">
        <w:rPr>
          <w:rFonts w:ascii="Times New Roman" w:hAnsi="Times New Roman"/>
          <w:sz w:val="24"/>
          <w:szCs w:val="24"/>
          <w:lang w:val="en-US"/>
        </w:rPr>
        <w:t>2</w:t>
      </w:r>
    </w:p>
    <w:p w:rsidR="004B0672" w:rsidRPr="00FF7543" w:rsidRDefault="004B0672">
      <w:pPr>
        <w:pStyle w:val="TOC1"/>
        <w:rPr>
          <w:rFonts w:ascii="Times New Roman" w:eastAsiaTheme="minorEastAsia" w:hAnsi="Times New Roman"/>
          <w:b w:val="0"/>
          <w:caps w:val="0"/>
          <w:sz w:val="24"/>
          <w:szCs w:val="24"/>
          <w:lang w:val="en-US" w:eastAsia="bg-BG"/>
        </w:rPr>
      </w:pPr>
      <w:r w:rsidRPr="004B0672">
        <w:rPr>
          <w:rFonts w:ascii="Times New Roman" w:hAnsi="Times New Roman"/>
          <w:sz w:val="24"/>
          <w:szCs w:val="24"/>
        </w:rPr>
        <w:t>2.</w:t>
      </w:r>
      <w:r w:rsidRPr="004B0672">
        <w:rPr>
          <w:rFonts w:ascii="Times New Roman" w:eastAsiaTheme="minorEastAsia" w:hAnsi="Times New Roman"/>
          <w:b w:val="0"/>
          <w:caps w:val="0"/>
          <w:sz w:val="24"/>
          <w:szCs w:val="24"/>
          <w:lang w:eastAsia="bg-BG"/>
        </w:rPr>
        <w:tab/>
      </w:r>
      <w:r w:rsidR="00EF3ADF" w:rsidRPr="00EF3ADF">
        <w:rPr>
          <w:rFonts w:ascii="Times New Roman" w:hAnsi="Times New Roman"/>
          <w:sz w:val="24"/>
          <w:szCs w:val="24"/>
        </w:rPr>
        <w:t>REVIEW OF COMPONENT 1 - PSHA OF BULGARIA</w:t>
      </w:r>
      <w:r w:rsidRPr="004B0672">
        <w:rPr>
          <w:rFonts w:ascii="Times New Roman" w:hAnsi="Times New Roman"/>
          <w:sz w:val="24"/>
          <w:szCs w:val="24"/>
        </w:rPr>
        <w:tab/>
      </w:r>
      <w:r w:rsidR="00FF7543">
        <w:rPr>
          <w:rFonts w:ascii="Times New Roman" w:hAnsi="Times New Roman"/>
          <w:sz w:val="24"/>
          <w:szCs w:val="24"/>
          <w:lang w:val="en-US"/>
        </w:rPr>
        <w:t>2</w:t>
      </w:r>
    </w:p>
    <w:p w:rsidR="004B0672" w:rsidRPr="00FC5118" w:rsidRDefault="004B0672">
      <w:pPr>
        <w:pStyle w:val="TOC1"/>
        <w:rPr>
          <w:rFonts w:ascii="Times New Roman" w:eastAsiaTheme="minorEastAsia" w:hAnsi="Times New Roman"/>
          <w:b w:val="0"/>
          <w:caps w:val="0"/>
          <w:sz w:val="24"/>
          <w:szCs w:val="24"/>
          <w:lang w:val="en-US" w:eastAsia="bg-BG"/>
        </w:rPr>
      </w:pPr>
      <w:r w:rsidRPr="004B0672">
        <w:rPr>
          <w:rFonts w:ascii="Times New Roman" w:hAnsi="Times New Roman"/>
          <w:sz w:val="24"/>
          <w:szCs w:val="24"/>
        </w:rPr>
        <w:t>3.</w:t>
      </w:r>
      <w:r w:rsidRPr="004B0672">
        <w:rPr>
          <w:rFonts w:ascii="Times New Roman" w:eastAsiaTheme="minorEastAsia" w:hAnsi="Times New Roman"/>
          <w:b w:val="0"/>
          <w:caps w:val="0"/>
          <w:sz w:val="24"/>
          <w:szCs w:val="24"/>
          <w:lang w:eastAsia="bg-BG"/>
        </w:rPr>
        <w:tab/>
      </w:r>
      <w:r w:rsidRPr="004B0672">
        <w:rPr>
          <w:rFonts w:ascii="Times New Roman" w:hAnsi="Times New Roman"/>
          <w:sz w:val="24"/>
          <w:szCs w:val="24"/>
        </w:rPr>
        <w:t xml:space="preserve">REVIEW OF Component </w:t>
      </w:r>
      <w:r w:rsidRPr="004B0672">
        <w:rPr>
          <w:rFonts w:ascii="Times New Roman" w:hAnsi="Times New Roman"/>
          <w:sz w:val="24"/>
          <w:szCs w:val="24"/>
          <w:lang w:val="bg"/>
        </w:rPr>
        <w:t xml:space="preserve">2 - </w:t>
      </w:r>
      <w:r w:rsidRPr="004B0672">
        <w:rPr>
          <w:rFonts w:ascii="Times New Roman" w:hAnsi="Times New Roman"/>
          <w:sz w:val="24"/>
          <w:szCs w:val="24"/>
        </w:rPr>
        <w:t>Exposure and vulnerability data</w:t>
      </w:r>
      <w:r w:rsidRPr="004B0672">
        <w:rPr>
          <w:rFonts w:ascii="Times New Roman" w:hAnsi="Times New Roman"/>
          <w:sz w:val="24"/>
          <w:szCs w:val="24"/>
        </w:rPr>
        <w:tab/>
      </w:r>
      <w:r w:rsidR="00FF7543">
        <w:rPr>
          <w:rFonts w:ascii="Times New Roman" w:hAnsi="Times New Roman"/>
          <w:sz w:val="24"/>
          <w:szCs w:val="24"/>
          <w:lang w:val="en-US"/>
        </w:rPr>
        <w:t>8</w:t>
      </w:r>
    </w:p>
    <w:p w:rsidR="004B0672" w:rsidRPr="00FC5118" w:rsidRDefault="004B0672">
      <w:pPr>
        <w:pStyle w:val="TOC2"/>
        <w:rPr>
          <w:rFonts w:ascii="Times New Roman" w:eastAsiaTheme="minorEastAsia" w:hAnsi="Times New Roman"/>
          <w:noProof/>
          <w:sz w:val="24"/>
          <w:szCs w:val="24"/>
          <w:lang w:val="en-US" w:eastAsia="bg-BG"/>
        </w:rPr>
      </w:pPr>
      <w:r w:rsidRPr="004B0672">
        <w:rPr>
          <w:rFonts w:ascii="Times New Roman" w:hAnsi="Times New Roman"/>
          <w:noProof/>
          <w:sz w:val="24"/>
          <w:szCs w:val="24"/>
        </w:rPr>
        <w:t>3.1. Georeferenced exposure database for large-panel buildings</w:t>
      </w:r>
      <w:r w:rsidRPr="004B0672">
        <w:rPr>
          <w:rFonts w:ascii="Times New Roman" w:hAnsi="Times New Roman"/>
          <w:noProof/>
          <w:sz w:val="24"/>
          <w:szCs w:val="24"/>
        </w:rPr>
        <w:tab/>
      </w:r>
      <w:r w:rsidR="00FF7543">
        <w:rPr>
          <w:rFonts w:ascii="Times New Roman" w:hAnsi="Times New Roman"/>
          <w:noProof/>
          <w:sz w:val="24"/>
          <w:szCs w:val="24"/>
          <w:lang w:val="en-US"/>
        </w:rPr>
        <w:t>8</w:t>
      </w:r>
    </w:p>
    <w:p w:rsidR="004B0672" w:rsidRPr="00FC5118" w:rsidRDefault="004B0672">
      <w:pPr>
        <w:pStyle w:val="TOC2"/>
        <w:rPr>
          <w:rFonts w:ascii="Times New Roman" w:eastAsiaTheme="minorEastAsia" w:hAnsi="Times New Roman"/>
          <w:noProof/>
          <w:sz w:val="24"/>
          <w:szCs w:val="24"/>
          <w:lang w:val="en-US" w:eastAsia="bg-BG"/>
        </w:rPr>
      </w:pPr>
      <w:r w:rsidRPr="004B0672">
        <w:rPr>
          <w:rFonts w:ascii="Times New Roman" w:hAnsi="Times New Roman"/>
          <w:noProof/>
          <w:sz w:val="24"/>
          <w:szCs w:val="24"/>
        </w:rPr>
        <w:t>3.2. Fragility and vulnerability curves of exemplary typologies</w:t>
      </w:r>
      <w:r w:rsidRPr="004B0672">
        <w:rPr>
          <w:rFonts w:ascii="Times New Roman" w:hAnsi="Times New Roman"/>
          <w:noProof/>
          <w:sz w:val="24"/>
          <w:szCs w:val="24"/>
        </w:rPr>
        <w:tab/>
      </w:r>
      <w:r w:rsidR="00FF7543">
        <w:rPr>
          <w:rFonts w:ascii="Times New Roman" w:hAnsi="Times New Roman"/>
          <w:noProof/>
          <w:sz w:val="24"/>
          <w:szCs w:val="24"/>
          <w:lang w:val="en-US"/>
        </w:rPr>
        <w:t>9</w:t>
      </w:r>
    </w:p>
    <w:p w:rsidR="004B0672" w:rsidRPr="00FC5118" w:rsidRDefault="004B0672">
      <w:pPr>
        <w:pStyle w:val="TOC1"/>
        <w:rPr>
          <w:rFonts w:ascii="Times New Roman" w:eastAsiaTheme="minorEastAsia" w:hAnsi="Times New Roman"/>
          <w:b w:val="0"/>
          <w:caps w:val="0"/>
          <w:sz w:val="24"/>
          <w:szCs w:val="24"/>
          <w:lang w:val="en-US" w:eastAsia="bg-BG"/>
        </w:rPr>
      </w:pPr>
      <w:r w:rsidRPr="004B0672">
        <w:rPr>
          <w:rFonts w:ascii="Times New Roman" w:hAnsi="Times New Roman"/>
          <w:sz w:val="24"/>
          <w:szCs w:val="24"/>
        </w:rPr>
        <w:t>4.</w:t>
      </w:r>
      <w:r w:rsidRPr="004B0672">
        <w:rPr>
          <w:rFonts w:ascii="Times New Roman" w:eastAsiaTheme="minorEastAsia" w:hAnsi="Times New Roman"/>
          <w:b w:val="0"/>
          <w:caps w:val="0"/>
          <w:sz w:val="24"/>
          <w:szCs w:val="24"/>
          <w:lang w:eastAsia="bg-BG"/>
        </w:rPr>
        <w:tab/>
      </w:r>
      <w:r w:rsidRPr="004B0672">
        <w:rPr>
          <w:rFonts w:ascii="Times New Roman" w:hAnsi="Times New Roman"/>
          <w:sz w:val="24"/>
          <w:szCs w:val="24"/>
        </w:rPr>
        <w:t>REVIEW OF Component 3</w:t>
      </w:r>
      <w:r w:rsidRPr="004B0672">
        <w:rPr>
          <w:rFonts w:ascii="Times New Roman" w:hAnsi="Times New Roman"/>
          <w:sz w:val="24"/>
          <w:szCs w:val="24"/>
          <w:lang w:val="bg"/>
        </w:rPr>
        <w:t xml:space="preserve"> - </w:t>
      </w:r>
      <w:r w:rsidRPr="004B0672">
        <w:rPr>
          <w:rFonts w:ascii="Times New Roman" w:hAnsi="Times New Roman"/>
          <w:sz w:val="24"/>
          <w:szCs w:val="24"/>
        </w:rPr>
        <w:t>Probabilistic and deterministic seismic risk assessment</w:t>
      </w:r>
      <w:r w:rsidRPr="004B0672">
        <w:rPr>
          <w:rFonts w:ascii="Times New Roman" w:hAnsi="Times New Roman"/>
          <w:sz w:val="24"/>
          <w:szCs w:val="24"/>
        </w:rPr>
        <w:tab/>
      </w:r>
      <w:r w:rsidR="00FC5118">
        <w:rPr>
          <w:rFonts w:ascii="Times New Roman" w:hAnsi="Times New Roman"/>
          <w:sz w:val="24"/>
          <w:szCs w:val="24"/>
          <w:lang w:val="en-US"/>
        </w:rPr>
        <w:t>1</w:t>
      </w:r>
      <w:r w:rsidR="00FF7543">
        <w:rPr>
          <w:rFonts w:ascii="Times New Roman" w:hAnsi="Times New Roman"/>
          <w:sz w:val="24"/>
          <w:szCs w:val="24"/>
          <w:lang w:val="en-US"/>
        </w:rPr>
        <w:t>1</w:t>
      </w:r>
    </w:p>
    <w:p w:rsidR="004B0672" w:rsidRPr="00FC5118" w:rsidRDefault="004B0672">
      <w:pPr>
        <w:pStyle w:val="TOC1"/>
        <w:rPr>
          <w:rFonts w:ascii="Times New Roman" w:eastAsiaTheme="minorEastAsia" w:hAnsi="Times New Roman"/>
          <w:b w:val="0"/>
          <w:caps w:val="0"/>
          <w:sz w:val="24"/>
          <w:szCs w:val="24"/>
          <w:lang w:val="en-US" w:eastAsia="bg-BG"/>
        </w:rPr>
      </w:pPr>
      <w:r w:rsidRPr="004B0672">
        <w:rPr>
          <w:rFonts w:ascii="Times New Roman" w:hAnsi="Times New Roman"/>
          <w:sz w:val="24"/>
          <w:szCs w:val="24"/>
        </w:rPr>
        <w:t>5.</w:t>
      </w:r>
      <w:r w:rsidRPr="004B0672">
        <w:rPr>
          <w:rFonts w:ascii="Times New Roman" w:eastAsiaTheme="minorEastAsia" w:hAnsi="Times New Roman"/>
          <w:b w:val="0"/>
          <w:caps w:val="0"/>
          <w:sz w:val="24"/>
          <w:szCs w:val="24"/>
          <w:lang w:eastAsia="bg-BG"/>
        </w:rPr>
        <w:tab/>
      </w:r>
      <w:r w:rsidRPr="004B0672">
        <w:rPr>
          <w:rFonts w:ascii="Times New Roman" w:hAnsi="Times New Roman"/>
          <w:sz w:val="24"/>
          <w:szCs w:val="24"/>
        </w:rPr>
        <w:t>REVIEW OF Component 5</w:t>
      </w:r>
      <w:r w:rsidRPr="004B0672">
        <w:rPr>
          <w:rFonts w:ascii="Times New Roman" w:hAnsi="Times New Roman"/>
          <w:sz w:val="24"/>
          <w:szCs w:val="24"/>
          <w:lang w:val="bg"/>
        </w:rPr>
        <w:t xml:space="preserve"> - </w:t>
      </w:r>
      <w:r w:rsidRPr="004B0672">
        <w:rPr>
          <w:rFonts w:ascii="Times New Roman" w:hAnsi="Times New Roman"/>
          <w:sz w:val="24"/>
          <w:szCs w:val="24"/>
        </w:rPr>
        <w:t>Improvement of current Technical Audit templates in Bulgaria</w:t>
      </w:r>
      <w:r w:rsidRPr="004B0672">
        <w:rPr>
          <w:rFonts w:ascii="Times New Roman" w:hAnsi="Times New Roman"/>
          <w:sz w:val="24"/>
          <w:szCs w:val="24"/>
        </w:rPr>
        <w:tab/>
      </w:r>
      <w:r w:rsidR="00FC5118">
        <w:rPr>
          <w:rFonts w:ascii="Times New Roman" w:hAnsi="Times New Roman"/>
          <w:sz w:val="24"/>
          <w:szCs w:val="24"/>
          <w:lang w:val="en-US"/>
        </w:rPr>
        <w:t>1</w:t>
      </w:r>
      <w:r w:rsidR="00FF7543">
        <w:rPr>
          <w:rFonts w:ascii="Times New Roman" w:hAnsi="Times New Roman"/>
          <w:sz w:val="24"/>
          <w:szCs w:val="24"/>
          <w:lang w:val="en-US"/>
        </w:rPr>
        <w:t>3</w:t>
      </w:r>
    </w:p>
    <w:p w:rsidR="004B0672" w:rsidRPr="004B0672" w:rsidRDefault="004B0672">
      <w:pPr>
        <w:pStyle w:val="TOC1"/>
        <w:rPr>
          <w:rFonts w:ascii="Times New Roman" w:eastAsiaTheme="minorEastAsia" w:hAnsi="Times New Roman"/>
          <w:b w:val="0"/>
          <w:caps w:val="0"/>
          <w:sz w:val="24"/>
          <w:szCs w:val="24"/>
          <w:lang w:eastAsia="bg-BG"/>
        </w:rPr>
      </w:pPr>
      <w:r w:rsidRPr="004B0672">
        <w:rPr>
          <w:rFonts w:ascii="Times New Roman" w:hAnsi="Times New Roman"/>
          <w:sz w:val="24"/>
          <w:szCs w:val="24"/>
        </w:rPr>
        <w:t>6.</w:t>
      </w:r>
      <w:r w:rsidRPr="004B0672">
        <w:rPr>
          <w:rFonts w:ascii="Times New Roman" w:eastAsiaTheme="minorEastAsia" w:hAnsi="Times New Roman"/>
          <w:b w:val="0"/>
          <w:caps w:val="0"/>
          <w:sz w:val="24"/>
          <w:szCs w:val="24"/>
          <w:lang w:eastAsia="bg-BG"/>
        </w:rPr>
        <w:tab/>
      </w:r>
      <w:r w:rsidRPr="004B0672">
        <w:rPr>
          <w:rFonts w:ascii="Times New Roman" w:hAnsi="Times New Roman"/>
          <w:sz w:val="24"/>
          <w:szCs w:val="24"/>
        </w:rPr>
        <w:t>Final conclusion:</w:t>
      </w:r>
      <w:r w:rsidRPr="004B0672">
        <w:rPr>
          <w:rFonts w:ascii="Times New Roman" w:hAnsi="Times New Roman"/>
          <w:sz w:val="24"/>
          <w:szCs w:val="24"/>
        </w:rPr>
        <w:tab/>
      </w:r>
      <w:r w:rsidRPr="004B0672">
        <w:rPr>
          <w:rFonts w:ascii="Times New Roman" w:hAnsi="Times New Roman"/>
          <w:sz w:val="24"/>
          <w:szCs w:val="24"/>
        </w:rPr>
        <w:fldChar w:fldCharType="begin"/>
      </w:r>
      <w:r w:rsidRPr="004B0672">
        <w:rPr>
          <w:rFonts w:ascii="Times New Roman" w:hAnsi="Times New Roman"/>
          <w:sz w:val="24"/>
          <w:szCs w:val="24"/>
        </w:rPr>
        <w:instrText xml:space="preserve"> PAGEREF _Toc3297879 \h </w:instrText>
      </w:r>
      <w:r w:rsidRPr="004B0672">
        <w:rPr>
          <w:rFonts w:ascii="Times New Roman" w:hAnsi="Times New Roman"/>
          <w:sz w:val="24"/>
          <w:szCs w:val="24"/>
        </w:rPr>
      </w:r>
      <w:r w:rsidRPr="004B0672">
        <w:rPr>
          <w:rFonts w:ascii="Times New Roman" w:hAnsi="Times New Roman"/>
          <w:sz w:val="24"/>
          <w:szCs w:val="24"/>
        </w:rPr>
        <w:fldChar w:fldCharType="separate"/>
      </w:r>
      <w:r w:rsidR="00EA3BB5">
        <w:rPr>
          <w:rFonts w:ascii="Times New Roman" w:hAnsi="Times New Roman"/>
          <w:sz w:val="24"/>
          <w:szCs w:val="24"/>
        </w:rPr>
        <w:t>1</w:t>
      </w:r>
      <w:r w:rsidR="00FF7543">
        <w:rPr>
          <w:rFonts w:ascii="Times New Roman" w:hAnsi="Times New Roman"/>
          <w:sz w:val="24"/>
          <w:szCs w:val="24"/>
          <w:lang w:val="en-US"/>
        </w:rPr>
        <w:t>5</w:t>
      </w:r>
      <w:r w:rsidRPr="004B0672">
        <w:rPr>
          <w:rFonts w:ascii="Times New Roman" w:hAnsi="Times New Roman"/>
          <w:sz w:val="24"/>
          <w:szCs w:val="24"/>
        </w:rPr>
        <w:fldChar w:fldCharType="end"/>
      </w:r>
    </w:p>
    <w:p w:rsidR="004B0672" w:rsidRPr="004B0672" w:rsidRDefault="004B0672">
      <w:pPr>
        <w:pStyle w:val="TOC1"/>
        <w:rPr>
          <w:rFonts w:ascii="Times New Roman" w:eastAsiaTheme="minorEastAsia" w:hAnsi="Times New Roman"/>
          <w:b w:val="0"/>
          <w:caps w:val="0"/>
          <w:sz w:val="24"/>
          <w:szCs w:val="24"/>
          <w:lang w:eastAsia="bg-BG"/>
        </w:rPr>
      </w:pPr>
      <w:r w:rsidRPr="004B0672">
        <w:rPr>
          <w:rFonts w:ascii="Times New Roman" w:hAnsi="Times New Roman"/>
          <w:sz w:val="24"/>
          <w:szCs w:val="24"/>
        </w:rPr>
        <w:t>7.</w:t>
      </w:r>
      <w:r w:rsidRPr="004B0672">
        <w:rPr>
          <w:rFonts w:ascii="Times New Roman" w:eastAsiaTheme="minorEastAsia" w:hAnsi="Times New Roman"/>
          <w:b w:val="0"/>
          <w:caps w:val="0"/>
          <w:sz w:val="24"/>
          <w:szCs w:val="24"/>
          <w:lang w:eastAsia="bg-BG"/>
        </w:rPr>
        <w:tab/>
      </w:r>
      <w:r w:rsidRPr="004B0672">
        <w:rPr>
          <w:rFonts w:ascii="Times New Roman" w:hAnsi="Times New Roman"/>
          <w:sz w:val="24"/>
          <w:szCs w:val="24"/>
        </w:rPr>
        <w:t>REFERENCES</w:t>
      </w:r>
      <w:r w:rsidRPr="004B0672">
        <w:rPr>
          <w:rFonts w:ascii="Times New Roman" w:hAnsi="Times New Roman"/>
          <w:sz w:val="24"/>
          <w:szCs w:val="24"/>
        </w:rPr>
        <w:tab/>
      </w:r>
      <w:r w:rsidRPr="004B0672">
        <w:rPr>
          <w:rFonts w:ascii="Times New Roman" w:hAnsi="Times New Roman"/>
          <w:sz w:val="24"/>
          <w:szCs w:val="24"/>
        </w:rPr>
        <w:fldChar w:fldCharType="begin"/>
      </w:r>
      <w:r w:rsidRPr="004B0672">
        <w:rPr>
          <w:rFonts w:ascii="Times New Roman" w:hAnsi="Times New Roman"/>
          <w:sz w:val="24"/>
          <w:szCs w:val="24"/>
        </w:rPr>
        <w:instrText xml:space="preserve"> PAGEREF _Toc3297880 \h </w:instrText>
      </w:r>
      <w:r w:rsidRPr="004B0672">
        <w:rPr>
          <w:rFonts w:ascii="Times New Roman" w:hAnsi="Times New Roman"/>
          <w:sz w:val="24"/>
          <w:szCs w:val="24"/>
        </w:rPr>
      </w:r>
      <w:r w:rsidRPr="004B0672">
        <w:rPr>
          <w:rFonts w:ascii="Times New Roman" w:hAnsi="Times New Roman"/>
          <w:sz w:val="24"/>
          <w:szCs w:val="24"/>
        </w:rPr>
        <w:fldChar w:fldCharType="separate"/>
      </w:r>
      <w:r w:rsidR="00EA3BB5">
        <w:rPr>
          <w:rFonts w:ascii="Times New Roman" w:hAnsi="Times New Roman"/>
          <w:sz w:val="24"/>
          <w:szCs w:val="24"/>
        </w:rPr>
        <w:t>1</w:t>
      </w:r>
      <w:r w:rsidR="00FF7543">
        <w:rPr>
          <w:rFonts w:ascii="Times New Roman" w:hAnsi="Times New Roman"/>
          <w:sz w:val="24"/>
          <w:szCs w:val="24"/>
          <w:lang w:val="en-US"/>
        </w:rPr>
        <w:t>7</w:t>
      </w:r>
      <w:r w:rsidRPr="004B0672">
        <w:rPr>
          <w:rFonts w:ascii="Times New Roman" w:hAnsi="Times New Roman"/>
          <w:sz w:val="24"/>
          <w:szCs w:val="24"/>
        </w:rPr>
        <w:fldChar w:fldCharType="end"/>
      </w:r>
    </w:p>
    <w:p w:rsidR="009A15E9" w:rsidRDefault="009A15E9" w:rsidP="009A15E9">
      <w:pPr>
        <w:pStyle w:val="HMstileChar"/>
      </w:pPr>
      <w:r w:rsidRPr="004B0672">
        <w:rPr>
          <w:rFonts w:ascii="Times New Roman" w:hAnsi="Times New Roman"/>
          <w:sz w:val="24"/>
          <w:szCs w:val="24"/>
        </w:rPr>
        <w:fldChar w:fldCharType="end"/>
      </w:r>
    </w:p>
    <w:p w:rsidR="00261F7E" w:rsidRDefault="00261F7E">
      <w:pPr>
        <w:spacing w:line="240" w:lineRule="auto"/>
        <w:ind w:firstLine="0"/>
      </w:pPr>
      <w:r>
        <w:br w:type="page"/>
      </w:r>
    </w:p>
    <w:p w:rsidR="00D731B1" w:rsidRPr="009A15E9" w:rsidRDefault="00821520" w:rsidP="00D46151">
      <w:pPr>
        <w:pStyle w:val="M-1"/>
        <w:numPr>
          <w:ilvl w:val="0"/>
          <w:numId w:val="20"/>
        </w:numPr>
      </w:pPr>
      <w:bookmarkStart w:id="2" w:name="_Toc391364352"/>
      <w:bookmarkStart w:id="3" w:name="_Toc391384805"/>
      <w:bookmarkStart w:id="4" w:name="_Toc3297872"/>
      <w:bookmarkEnd w:id="0"/>
      <w:bookmarkEnd w:id="1"/>
      <w:r>
        <w:lastRenderedPageBreak/>
        <w:t>Introduction</w:t>
      </w:r>
      <w:bookmarkStart w:id="5" w:name="_Toc391364353"/>
      <w:bookmarkEnd w:id="2"/>
      <w:bookmarkEnd w:id="3"/>
      <w:bookmarkEnd w:id="4"/>
    </w:p>
    <w:bookmarkEnd w:id="5"/>
    <w:p w:rsidR="0060599B" w:rsidRDefault="0060599B" w:rsidP="00927055">
      <w:pPr>
        <w:pStyle w:val="-"/>
        <w:rPr>
          <w:lang w:val="en-US"/>
        </w:rPr>
      </w:pPr>
      <w:r w:rsidRPr="0060599B">
        <w:rPr>
          <w:lang w:val="en-US"/>
        </w:rPr>
        <w:t xml:space="preserve">This review is based on a contract </w:t>
      </w:r>
      <w:r w:rsidR="00B125B2">
        <w:t>(</w:t>
      </w:r>
      <w:r w:rsidR="00B125B2">
        <w:rPr>
          <w:lang w:val="en-US"/>
        </w:rPr>
        <w:t xml:space="preserve">Selection </w:t>
      </w:r>
      <w:r w:rsidR="00526C67">
        <w:rPr>
          <w:lang w:val="en-US"/>
        </w:rPr>
        <w:t>#</w:t>
      </w:r>
      <w:r w:rsidR="00B125B2">
        <w:rPr>
          <w:lang w:val="en-US"/>
        </w:rPr>
        <w:t>125683</w:t>
      </w:r>
      <w:r w:rsidR="0050396E">
        <w:rPr>
          <w:lang w:val="en-US"/>
        </w:rPr>
        <w:t>6)</w:t>
      </w:r>
      <w:r w:rsidR="00526C67">
        <w:rPr>
          <w:lang w:val="en-US"/>
        </w:rPr>
        <w:t xml:space="preserve"> </w:t>
      </w:r>
      <w:r w:rsidRPr="0060599B">
        <w:rPr>
          <w:lang w:val="en-US"/>
        </w:rPr>
        <w:t>between NIGG</w:t>
      </w:r>
      <w:r w:rsidR="00526C67">
        <w:rPr>
          <w:lang w:val="en-US"/>
        </w:rPr>
        <w:t>G</w:t>
      </w:r>
      <w:r w:rsidRPr="0060599B">
        <w:rPr>
          <w:lang w:val="en-US"/>
        </w:rPr>
        <w:t>-BAS and the World Bank.</w:t>
      </w:r>
    </w:p>
    <w:p w:rsidR="00024C75" w:rsidRDefault="007076B8" w:rsidP="00927055">
      <w:pPr>
        <w:pStyle w:val="-"/>
        <w:rPr>
          <w:iCs/>
          <w:lang w:val="en-US"/>
        </w:rPr>
      </w:pPr>
      <w:r>
        <w:rPr>
          <w:lang w:val="en-US"/>
        </w:rPr>
        <w:t>Review of the reports of the project “</w:t>
      </w:r>
      <w:r w:rsidR="0057180B" w:rsidRPr="0057180B">
        <w:rPr>
          <w:lang w:val="bg"/>
        </w:rPr>
        <w:t>#1249310</w:t>
      </w:r>
      <w:r w:rsidR="0057180B" w:rsidRPr="0057180B">
        <w:rPr>
          <w:i/>
          <w:iCs/>
          <w:lang w:val="bg"/>
        </w:rPr>
        <w:t xml:space="preserve"> </w:t>
      </w:r>
      <w:r w:rsidR="0057180B" w:rsidRPr="0057180B">
        <w:rPr>
          <w:i/>
          <w:iCs/>
          <w:lang w:val="en-US"/>
        </w:rPr>
        <w:t>Probabilistic seismic risk assessment and seismic safety improvement recommendations for pre-1990 multi- family housing structures in Bulgaria and broader Europe Central Asia region</w:t>
      </w:r>
      <w:r>
        <w:rPr>
          <w:i/>
          <w:iCs/>
          <w:lang w:val="en-US"/>
        </w:rPr>
        <w:t xml:space="preserve">” </w:t>
      </w:r>
      <w:r w:rsidRPr="007076B8">
        <w:rPr>
          <w:iCs/>
          <w:lang w:val="en-US"/>
        </w:rPr>
        <w:t>is done</w:t>
      </w:r>
      <w:r w:rsidR="0057180B" w:rsidRPr="0057180B">
        <w:rPr>
          <w:i/>
          <w:iCs/>
          <w:lang w:val="en-US"/>
        </w:rPr>
        <w:t>.</w:t>
      </w:r>
      <w:r w:rsidR="00024C75">
        <w:rPr>
          <w:iCs/>
          <w:lang w:val="en-US"/>
        </w:rPr>
        <w:t xml:space="preserve"> </w:t>
      </w:r>
    </w:p>
    <w:p w:rsidR="00562CDF" w:rsidRDefault="00024C75" w:rsidP="00927055">
      <w:pPr>
        <w:pStyle w:val="-"/>
        <w:rPr>
          <w:iCs/>
          <w:lang w:val="en-US"/>
        </w:rPr>
      </w:pPr>
      <w:r w:rsidRPr="00024C75">
        <w:rPr>
          <w:iCs/>
          <w:lang w:val="en-US"/>
        </w:rPr>
        <w:t>The structure of the review is based on the individual components - as the deliveri</w:t>
      </w:r>
      <w:r w:rsidR="00F71574">
        <w:rPr>
          <w:iCs/>
          <w:lang w:val="en-US"/>
        </w:rPr>
        <w:t>es are organized in the project:</w:t>
      </w:r>
    </w:p>
    <w:p w:rsidR="00F71574" w:rsidRDefault="00F71574" w:rsidP="0025161E">
      <w:pPr>
        <w:pStyle w:val="-"/>
        <w:numPr>
          <w:ilvl w:val="0"/>
          <w:numId w:val="34"/>
        </w:numPr>
        <w:rPr>
          <w:iCs/>
          <w:lang w:val="en-US"/>
        </w:rPr>
      </w:pPr>
      <w:r>
        <w:rPr>
          <w:iCs/>
          <w:lang w:val="en-US"/>
        </w:rPr>
        <w:t xml:space="preserve">Component 1 – PSHA of Bulgaria, 16 Oct 2018, </w:t>
      </w:r>
      <w:r w:rsidR="00DA4F37">
        <w:rPr>
          <w:iCs/>
          <w:lang w:val="en-US"/>
        </w:rPr>
        <w:t>Revision B, Document ref. 391356</w:t>
      </w:r>
      <w:r w:rsidR="00E9403A">
        <w:rPr>
          <w:iCs/>
          <w:lang w:val="en-US"/>
        </w:rPr>
        <w:t xml:space="preserve"> </w:t>
      </w:r>
      <w:r w:rsidR="00DA4F37">
        <w:rPr>
          <w:iCs/>
          <w:lang w:val="en-US"/>
        </w:rPr>
        <w:t>/R1/B</w:t>
      </w:r>
      <w:r w:rsidR="00E9403A">
        <w:rPr>
          <w:iCs/>
          <w:lang w:val="en-US"/>
        </w:rPr>
        <w:t>;</w:t>
      </w:r>
    </w:p>
    <w:p w:rsidR="00DA4F37" w:rsidRDefault="00DA4F37" w:rsidP="0025161E">
      <w:pPr>
        <w:pStyle w:val="-"/>
        <w:numPr>
          <w:ilvl w:val="0"/>
          <w:numId w:val="34"/>
        </w:numPr>
        <w:rPr>
          <w:bCs/>
          <w:iCs/>
          <w:lang w:val="en-US"/>
        </w:rPr>
      </w:pPr>
      <w:r>
        <w:rPr>
          <w:lang w:val="en-US"/>
        </w:rPr>
        <w:t xml:space="preserve">Component 2 - </w:t>
      </w:r>
      <w:r w:rsidRPr="00DA4F37">
        <w:rPr>
          <w:lang w:val="en-US"/>
        </w:rPr>
        <w:t>Exposure and vulnerability data</w:t>
      </w:r>
      <w:r>
        <w:rPr>
          <w:lang w:val="en-US"/>
        </w:rPr>
        <w:t xml:space="preserve">, 16 Nov 2018, </w:t>
      </w:r>
      <w:r>
        <w:rPr>
          <w:iCs/>
          <w:lang w:val="en-US"/>
        </w:rPr>
        <w:t xml:space="preserve">Revision B, Document ref. </w:t>
      </w:r>
      <w:r w:rsidRPr="00DA4F37">
        <w:rPr>
          <w:bCs/>
          <w:iCs/>
          <w:lang w:val="bg"/>
        </w:rPr>
        <w:t xml:space="preserve">391356 </w:t>
      </w:r>
      <w:r w:rsidR="00E9403A">
        <w:rPr>
          <w:bCs/>
          <w:iCs/>
          <w:lang w:val="en-US"/>
        </w:rPr>
        <w:t>/</w:t>
      </w:r>
      <w:r w:rsidRPr="00DA4F37">
        <w:rPr>
          <w:bCs/>
          <w:iCs/>
          <w:lang w:val="en-US"/>
        </w:rPr>
        <w:t xml:space="preserve"> R2 </w:t>
      </w:r>
      <w:r w:rsidR="00E9403A">
        <w:rPr>
          <w:bCs/>
          <w:iCs/>
          <w:lang w:val="en-US"/>
        </w:rPr>
        <w:t>/</w:t>
      </w:r>
      <w:r w:rsidRPr="00DA4F37">
        <w:rPr>
          <w:bCs/>
          <w:iCs/>
          <w:lang w:val="en-US"/>
        </w:rPr>
        <w:t xml:space="preserve"> B</w:t>
      </w:r>
      <w:r w:rsidR="00E9403A">
        <w:rPr>
          <w:bCs/>
          <w:iCs/>
          <w:lang w:val="en-US"/>
        </w:rPr>
        <w:t>;</w:t>
      </w:r>
    </w:p>
    <w:p w:rsidR="00E9403A" w:rsidRDefault="00E9403A" w:rsidP="0025161E">
      <w:pPr>
        <w:pStyle w:val="-"/>
        <w:numPr>
          <w:ilvl w:val="0"/>
          <w:numId w:val="34"/>
        </w:numPr>
        <w:rPr>
          <w:bCs/>
          <w:iCs/>
          <w:lang w:val="en-US"/>
        </w:rPr>
      </w:pPr>
      <w:r>
        <w:rPr>
          <w:lang w:val="en-US"/>
        </w:rPr>
        <w:t xml:space="preserve">Component 3 - </w:t>
      </w:r>
      <w:r w:rsidRPr="00E9403A">
        <w:rPr>
          <w:lang w:val="en-US"/>
        </w:rPr>
        <w:t>Probabilistic and deterministic seismic risk assessment</w:t>
      </w:r>
      <w:r>
        <w:rPr>
          <w:lang w:val="en-US"/>
        </w:rPr>
        <w:t xml:space="preserve">, 09 Nov 2018, Revision B, </w:t>
      </w:r>
      <w:r>
        <w:rPr>
          <w:iCs/>
          <w:lang w:val="en-US"/>
        </w:rPr>
        <w:t xml:space="preserve">Document ref. </w:t>
      </w:r>
      <w:r w:rsidRPr="00DA4F37">
        <w:rPr>
          <w:bCs/>
          <w:iCs/>
          <w:lang w:val="bg"/>
        </w:rPr>
        <w:t xml:space="preserve">391356 </w:t>
      </w:r>
      <w:r>
        <w:rPr>
          <w:bCs/>
          <w:iCs/>
          <w:lang w:val="en-US"/>
        </w:rPr>
        <w:t>/</w:t>
      </w:r>
      <w:r w:rsidRPr="00DA4F37">
        <w:rPr>
          <w:bCs/>
          <w:iCs/>
          <w:lang w:val="en-US"/>
        </w:rPr>
        <w:t xml:space="preserve"> R</w:t>
      </w:r>
      <w:r>
        <w:rPr>
          <w:bCs/>
          <w:iCs/>
          <w:lang w:val="en-US"/>
        </w:rPr>
        <w:t>3</w:t>
      </w:r>
      <w:r w:rsidRPr="00DA4F37">
        <w:rPr>
          <w:bCs/>
          <w:iCs/>
          <w:lang w:val="en-US"/>
        </w:rPr>
        <w:t xml:space="preserve"> </w:t>
      </w:r>
      <w:r>
        <w:rPr>
          <w:bCs/>
          <w:iCs/>
          <w:lang w:val="en-US"/>
        </w:rPr>
        <w:t>/</w:t>
      </w:r>
      <w:r w:rsidRPr="00DA4F37">
        <w:rPr>
          <w:bCs/>
          <w:iCs/>
          <w:lang w:val="en-US"/>
        </w:rPr>
        <w:t xml:space="preserve"> B</w:t>
      </w:r>
      <w:r>
        <w:rPr>
          <w:bCs/>
          <w:iCs/>
          <w:lang w:val="en-US"/>
        </w:rPr>
        <w:t>;</w:t>
      </w:r>
    </w:p>
    <w:p w:rsidR="00E9403A" w:rsidRPr="00E9403A" w:rsidRDefault="00E9403A" w:rsidP="0025161E">
      <w:pPr>
        <w:pStyle w:val="-"/>
        <w:numPr>
          <w:ilvl w:val="0"/>
          <w:numId w:val="34"/>
        </w:numPr>
        <w:rPr>
          <w:bCs/>
          <w:iCs/>
          <w:lang w:val="en-US"/>
        </w:rPr>
      </w:pPr>
      <w:r w:rsidRPr="00E9403A">
        <w:rPr>
          <w:lang w:val="en-US"/>
        </w:rPr>
        <w:t xml:space="preserve">Component </w:t>
      </w:r>
      <w:r>
        <w:rPr>
          <w:lang w:val="en-US"/>
        </w:rPr>
        <w:t>5</w:t>
      </w:r>
      <w:r w:rsidRPr="00E9403A">
        <w:rPr>
          <w:lang w:val="en-US"/>
        </w:rPr>
        <w:t xml:space="preserve"> - </w:t>
      </w:r>
      <w:r w:rsidR="0025161E" w:rsidRPr="0025161E">
        <w:rPr>
          <w:lang w:val="en-US" w:bidi="en-US"/>
        </w:rPr>
        <w:t>Improvement of current Technical Audit templates in Bulgaria</w:t>
      </w:r>
      <w:r w:rsidRPr="00E9403A">
        <w:rPr>
          <w:lang w:val="en-US"/>
        </w:rPr>
        <w:t>, 0</w:t>
      </w:r>
      <w:r w:rsidR="0025161E">
        <w:rPr>
          <w:lang w:val="en-US"/>
        </w:rPr>
        <w:t>7</w:t>
      </w:r>
      <w:r w:rsidRPr="00E9403A">
        <w:rPr>
          <w:lang w:val="en-US"/>
        </w:rPr>
        <w:t xml:space="preserve"> </w:t>
      </w:r>
      <w:r w:rsidR="0025161E">
        <w:rPr>
          <w:lang w:val="en-US"/>
        </w:rPr>
        <w:t>Dec</w:t>
      </w:r>
      <w:r w:rsidRPr="00E9403A">
        <w:rPr>
          <w:lang w:val="en-US"/>
        </w:rPr>
        <w:t xml:space="preserve"> 2018, Revision B, </w:t>
      </w:r>
      <w:r w:rsidRPr="00E9403A">
        <w:rPr>
          <w:iCs/>
          <w:lang w:val="en-US"/>
        </w:rPr>
        <w:t xml:space="preserve">Document ref. </w:t>
      </w:r>
      <w:r w:rsidRPr="00E9403A">
        <w:rPr>
          <w:bCs/>
          <w:iCs/>
          <w:lang w:val="bg"/>
        </w:rPr>
        <w:t xml:space="preserve">391356 </w:t>
      </w:r>
      <w:r w:rsidRPr="00E9403A">
        <w:rPr>
          <w:bCs/>
          <w:iCs/>
          <w:lang w:val="en-US"/>
        </w:rPr>
        <w:t>/ R</w:t>
      </w:r>
      <w:r w:rsidR="0025161E">
        <w:rPr>
          <w:bCs/>
          <w:iCs/>
          <w:lang w:val="en-US"/>
        </w:rPr>
        <w:t>5</w:t>
      </w:r>
      <w:r w:rsidRPr="00E9403A">
        <w:rPr>
          <w:bCs/>
          <w:iCs/>
          <w:lang w:val="en-US"/>
        </w:rPr>
        <w:t xml:space="preserve"> / B;</w:t>
      </w:r>
    </w:p>
    <w:p w:rsidR="00024C75" w:rsidRDefault="00B01D44" w:rsidP="00927055">
      <w:pPr>
        <w:pStyle w:val="-"/>
        <w:rPr>
          <w:lang w:val="en-US"/>
        </w:rPr>
      </w:pPr>
      <w:r>
        <w:rPr>
          <w:lang w:val="en-US"/>
        </w:rPr>
        <w:t xml:space="preserve"> </w:t>
      </w:r>
      <w:r w:rsidR="00024C75" w:rsidRPr="00024C75">
        <w:rPr>
          <w:lang w:val="en-US"/>
        </w:rPr>
        <w:t xml:space="preserve">The </w:t>
      </w:r>
      <w:r w:rsidR="00024C75">
        <w:rPr>
          <w:lang w:val="en-US"/>
        </w:rPr>
        <w:t>review</w:t>
      </w:r>
      <w:r w:rsidR="00024C75" w:rsidRPr="00024C75">
        <w:rPr>
          <w:lang w:val="en-US"/>
        </w:rPr>
        <w:t xml:space="preserve"> is performed by a team of three specialists as follows: </w:t>
      </w:r>
    </w:p>
    <w:p w:rsidR="00024C75" w:rsidRPr="00024C75" w:rsidRDefault="00024C75" w:rsidP="00927055">
      <w:pPr>
        <w:pStyle w:val="-"/>
        <w:numPr>
          <w:ilvl w:val="0"/>
          <w:numId w:val="6"/>
        </w:numPr>
        <w:spacing w:after="60"/>
        <w:ind w:left="1570" w:hanging="357"/>
      </w:pPr>
      <w:r w:rsidRPr="00024C75">
        <w:t xml:space="preserve">Professor, DSc, </w:t>
      </w:r>
      <w:r>
        <w:rPr>
          <w:lang w:val="en-US"/>
        </w:rPr>
        <w:t>Dimcho Solakov</w:t>
      </w:r>
      <w:r w:rsidRPr="00024C75">
        <w:t xml:space="preserve"> – </w:t>
      </w:r>
      <w:r>
        <w:rPr>
          <w:lang w:val="en-US"/>
        </w:rPr>
        <w:t>Component 1</w:t>
      </w:r>
      <w:r w:rsidRPr="00024C75">
        <w:t xml:space="preserve">. </w:t>
      </w:r>
    </w:p>
    <w:p w:rsidR="00024C75" w:rsidRPr="00024C75" w:rsidRDefault="00024C75" w:rsidP="00927055">
      <w:pPr>
        <w:pStyle w:val="-"/>
        <w:numPr>
          <w:ilvl w:val="0"/>
          <w:numId w:val="6"/>
        </w:numPr>
        <w:spacing w:after="60"/>
        <w:ind w:left="1570" w:hanging="357"/>
      </w:pPr>
      <w:r w:rsidRPr="00024C75">
        <w:t xml:space="preserve">Associate Professor, PhD, </w:t>
      </w:r>
      <w:r>
        <w:rPr>
          <w:lang w:val="en-US"/>
        </w:rPr>
        <w:t>Stela Simeonova</w:t>
      </w:r>
      <w:r w:rsidRPr="00024C75">
        <w:t xml:space="preserve"> – </w:t>
      </w:r>
      <w:r>
        <w:rPr>
          <w:lang w:val="en-US"/>
        </w:rPr>
        <w:t>Component 1</w:t>
      </w:r>
      <w:r w:rsidRPr="00024C75">
        <w:t>.</w:t>
      </w:r>
    </w:p>
    <w:p w:rsidR="00B25D1D" w:rsidRPr="00D04B03" w:rsidRDefault="00024C75" w:rsidP="00927055">
      <w:pPr>
        <w:pStyle w:val="-"/>
        <w:numPr>
          <w:ilvl w:val="0"/>
          <w:numId w:val="6"/>
        </w:numPr>
        <w:spacing w:after="60"/>
        <w:ind w:left="1570" w:hanging="357"/>
      </w:pPr>
      <w:r w:rsidRPr="00024C75">
        <w:t xml:space="preserve">Associate Professor, PhD, </w:t>
      </w:r>
      <w:r w:rsidRPr="00D04B03">
        <w:rPr>
          <w:lang w:val="en-US"/>
        </w:rPr>
        <w:t>E</w:t>
      </w:r>
      <w:r w:rsidRPr="00024C75">
        <w:t xml:space="preserve">ng. Dimitar Stefanov – </w:t>
      </w:r>
      <w:r w:rsidR="00D04B03">
        <w:rPr>
          <w:lang w:val="en-US"/>
        </w:rPr>
        <w:t>Component 2, 3 and 5</w:t>
      </w:r>
      <w:r w:rsidR="00D04B03" w:rsidRPr="00024C75">
        <w:t>.</w:t>
      </w:r>
    </w:p>
    <w:p w:rsidR="00D04B03" w:rsidRPr="00F83E5A" w:rsidRDefault="00D04B03" w:rsidP="00D04B03">
      <w:pPr>
        <w:pStyle w:val="-"/>
        <w:ind w:left="1211" w:firstLine="0"/>
      </w:pPr>
    </w:p>
    <w:p w:rsidR="00B25D1D" w:rsidRPr="00AD7865" w:rsidRDefault="00AD7865" w:rsidP="00AD7865">
      <w:pPr>
        <w:pStyle w:val="-"/>
        <w:numPr>
          <w:ilvl w:val="0"/>
          <w:numId w:val="20"/>
        </w:numPr>
        <w:rPr>
          <w:b/>
          <w:lang w:val="en-US"/>
        </w:rPr>
      </w:pPr>
      <w:r w:rsidRPr="00AD7865">
        <w:rPr>
          <w:b/>
          <w:bCs/>
          <w:caps/>
          <w:color w:val="000000"/>
          <w:szCs w:val="24"/>
          <w:lang w:val="en-US"/>
        </w:rPr>
        <w:t>REVIEW OF Component 1 - PSHA of Bulgaria</w:t>
      </w:r>
    </w:p>
    <w:p w:rsidR="00AD7865" w:rsidRPr="00AD7865" w:rsidRDefault="00AD7865" w:rsidP="00AD7865">
      <w:pPr>
        <w:pStyle w:val="-"/>
        <w:rPr>
          <w:lang w:val="en-US"/>
        </w:rPr>
      </w:pPr>
      <w:r w:rsidRPr="00AD7865">
        <w:rPr>
          <w:lang w:val="en-US"/>
        </w:rPr>
        <w:t>The objective of the Component 1 “PSHA of Bulgaria” is to summarize the methodology, the associated assumptions and the findings of the hazard analyses performed for Component 1 within project Probabilistic seismic risk assessment and seismic safety improvement recommendations for pre-1990 multi-family housing structures in Bulgaria and broader Europe Central Asia region (Section #1249310). The project has been initiated by the World Bank and the Global Facility for Disaster Reduction and Recovery (GFDRR).</w:t>
      </w:r>
    </w:p>
    <w:p w:rsidR="00AD7865" w:rsidRPr="00AD7865" w:rsidRDefault="00AD7865" w:rsidP="00AD7865">
      <w:pPr>
        <w:pStyle w:val="-"/>
        <w:rPr>
          <w:lang w:val="en-US"/>
        </w:rPr>
      </w:pPr>
      <w:r w:rsidRPr="00AD7865">
        <w:rPr>
          <w:lang w:val="en-US"/>
        </w:rPr>
        <w:t>The main task of the Component 1 “PSHA of Bulgaria” report is to prepare PSHA for Bulgaria, together with deterministic scenarios for five major cities to be used in the next stages of the project. The purpose of the PSHA and DSHA studies presented in the report is to supply the input data needed for the probabilistic and deterministic seismic risk assessment within the current project. The presented PSHA is based on a number of assumptions and simplifications for ground conditions and is tailored for seismic risk assessment of a portfolio of a specific building type across Bulgaria. The results, however, could be suitable for portfolio seismic risk assessment of other types of buildings and infrastructure in the country.</w:t>
      </w:r>
    </w:p>
    <w:p w:rsidR="00AD7865" w:rsidRPr="00AD7865" w:rsidRDefault="00AD7865" w:rsidP="00AD7865">
      <w:pPr>
        <w:pStyle w:val="-"/>
        <w:rPr>
          <w:lang w:val="en-US"/>
        </w:rPr>
      </w:pPr>
      <w:r w:rsidRPr="00AD7865">
        <w:rPr>
          <w:lang w:val="en-US"/>
        </w:rPr>
        <w:t>The PSHA analyses are based on the seismotectonic model built as part of the state-of-the-art</w:t>
      </w:r>
      <w:r>
        <w:rPr>
          <w:lang w:val="en-US"/>
        </w:rPr>
        <w:t xml:space="preserve"> </w:t>
      </w:r>
      <w:r w:rsidRPr="00AD7865">
        <w:rPr>
          <w:lang w:val="en-US"/>
        </w:rPr>
        <w:t>project for Seismic Hazard Harmonization in Europe, SHARE (http://www.efehr.org/en/home/).</w:t>
      </w:r>
    </w:p>
    <w:p w:rsidR="00AD7865" w:rsidRPr="00AD7865" w:rsidRDefault="00AD7865" w:rsidP="00AD7865">
      <w:pPr>
        <w:pStyle w:val="-"/>
        <w:rPr>
          <w:lang w:val="en-US"/>
        </w:rPr>
      </w:pPr>
      <w:r w:rsidRPr="00AD7865">
        <w:rPr>
          <w:lang w:val="en-US"/>
        </w:rPr>
        <w:t>The seismotectonic and ground motion models used for the scenario earthquakes were the same as in the PSHA. The selection of the scenarios was discussed and agreed upon with the hazard experts from BAS.</w:t>
      </w:r>
    </w:p>
    <w:p w:rsidR="00AD7865" w:rsidRPr="00AD7865" w:rsidRDefault="00AD7865" w:rsidP="00AD7865">
      <w:pPr>
        <w:pStyle w:val="-"/>
        <w:rPr>
          <w:lang w:val="en-US"/>
        </w:rPr>
      </w:pPr>
      <w:r w:rsidRPr="00AD7865">
        <w:rPr>
          <w:lang w:val="en-US"/>
        </w:rPr>
        <w:t xml:space="preserve">The analyses were run with OpenQuake (https://github.com/gem/oq-engine), an open-source engine, developed by the Global Earthquake Model (GEM) foundation. </w:t>
      </w:r>
    </w:p>
    <w:p w:rsidR="00AD7865" w:rsidRPr="00AD7865" w:rsidRDefault="00AD7865" w:rsidP="00AD7865">
      <w:pPr>
        <w:pStyle w:val="-"/>
        <w:rPr>
          <w:lang w:val="en-US"/>
        </w:rPr>
      </w:pPr>
      <w:r w:rsidRPr="00AD7865">
        <w:rPr>
          <w:lang w:val="en-US"/>
        </w:rPr>
        <w:t>The PSHA modelling and analysis process was performed in the spirit of SSHAC Level 1 (Senior Seismic Hazard Analysis Committee, U.S.NRC) recommendations for expert elicitation and treatment of uncertainties due to different opinions and interpretations.</w:t>
      </w:r>
    </w:p>
    <w:p w:rsidR="00AD7865" w:rsidRPr="00AD7865" w:rsidRDefault="00AD7865" w:rsidP="00AD7865">
      <w:pPr>
        <w:pStyle w:val="-"/>
        <w:rPr>
          <w:lang w:val="en-US"/>
        </w:rPr>
      </w:pPr>
      <w:r w:rsidRPr="00AD7865">
        <w:rPr>
          <w:lang w:val="en-US"/>
        </w:rPr>
        <w:lastRenderedPageBreak/>
        <w:t>The characterization of the areal sources, the faults, the point sources and the background seismicity were based on the SHARE project, which is well documented, provides explicitly the full list of required source parameters and is with open access (http://www.efehr.org/en/home/ and http://www.share-eu.org/node/52).</w:t>
      </w:r>
    </w:p>
    <w:p w:rsidR="00AD7865" w:rsidRPr="00AD7865" w:rsidRDefault="00AD7865" w:rsidP="00AD7865">
      <w:pPr>
        <w:pStyle w:val="-"/>
        <w:rPr>
          <w:lang w:val="en-US"/>
        </w:rPr>
      </w:pPr>
      <w:r w:rsidRPr="00AD7865">
        <w:rPr>
          <w:lang w:val="en-US"/>
        </w:rPr>
        <w:t>The following two modifications were introduced in the SHARE project source model.</w:t>
      </w:r>
    </w:p>
    <w:p w:rsidR="00AD7865" w:rsidRPr="00AD7865" w:rsidRDefault="00AD7865" w:rsidP="00AD7865">
      <w:pPr>
        <w:pStyle w:val="-"/>
        <w:rPr>
          <w:lang w:val="en-US"/>
        </w:rPr>
      </w:pPr>
      <w:r w:rsidRPr="00AD7865">
        <w:rPr>
          <w:lang w:val="en-US"/>
        </w:rPr>
        <w:t xml:space="preserve">1. The first modification concerns the geometry, areal extent and activity rate of the Vrancea intermediate-depth subduction source. In the SHARE model, Vrancea-intermediate (VI) source is modelled with four sources covering very wide area but having moderate activity rates per unit area. One of the sub-sources of Vrancea reaches the Bulgarian border to the south implying that an intermediate depth earthquake of Mmax=7.6 could potentially occur some 12 km from the city of Ruse. The seismological observations, from both historical and instrumental periods (SHARE and ROMPLUS catalogue) indicate that the intermediate-depth earthquakes around the tip of the Vrancea mountain arc are clustered in a region 150-250km to the north of the Danube river. </w:t>
      </w:r>
      <w:r w:rsidRPr="00AD7865">
        <w:rPr>
          <w:lang w:val="en-US"/>
        </w:rPr>
        <w:t>Moreover,</w:t>
      </w:r>
      <w:r>
        <w:rPr>
          <w:lang w:val="en-US"/>
        </w:rPr>
        <w:t xml:space="preserve"> </w:t>
      </w:r>
      <w:r w:rsidRPr="00AD7865">
        <w:rPr>
          <w:lang w:val="en-US"/>
        </w:rPr>
        <w:t>the Romanian national PSHA mapping project BIGSEES (http://infp.infp.ro/bigsees/default.htm) proposes a much smaller region with high activity rate per unit area for the Vrancea seismic source. Based on that, for this source the relevant parameters (geometry, magnitude-frequency distribution, earthquake depth distributions) proposed by BIGSEES (Pavel, et al., 2016) were used in the current report. After further discussion and information exchange with the Romanian colleagues, the depth-dependent MFD for Vrancea intermediate earthquakes was approximated with depth-independent MFD. Due to its large distance away from the Bulgarian territory and moderate maximum magnitudes, the shallow crustal Vrancea sub-source VC was ignored. Instead, the shallow crustal sources defined by SHARE within and close to Bulgaria were included, since they would have much stronger influence. Details on the assumptions and justification of the analysis choices are provided in Appendix E.</w:t>
      </w:r>
    </w:p>
    <w:p w:rsidR="00AD7865" w:rsidRPr="00AD7865" w:rsidRDefault="00AD7865" w:rsidP="00AD7865">
      <w:pPr>
        <w:pStyle w:val="-"/>
        <w:rPr>
          <w:lang w:val="en-US"/>
        </w:rPr>
      </w:pPr>
      <w:r w:rsidRPr="00AD7865">
        <w:rPr>
          <w:lang w:val="en-US"/>
        </w:rPr>
        <w:t>2. As a result of collaboration with the hazard experts from the National Institute of Geophysics, Geodesy and Geography of the Bulgarian Academy of Science BAS, another change was introduced to the modelling of the MFD for the areal source ID BGAS226, near which the capital, Sofia, is situated. In the SHARE project, the source BGAS226 is defined with a=2.7 and b=0.8 with annual rates of earthquakes N(M≥4.4) = 0.151 and N(M≥6.0) = 0.0079. The opinion of the experts from BAS is that the activity rates assigned to this source in the SHARE project are not consistent with the actual seismological observations. Their written recommendations are attached in Appendix D.</w:t>
      </w:r>
    </w:p>
    <w:p w:rsidR="00AD7865" w:rsidRPr="00AD7865" w:rsidRDefault="00AD7865" w:rsidP="00AD7865">
      <w:pPr>
        <w:pStyle w:val="-"/>
        <w:rPr>
          <w:lang w:val="en-US"/>
        </w:rPr>
      </w:pPr>
      <w:r w:rsidRPr="00AD7865">
        <w:rPr>
          <w:lang w:val="en-US"/>
        </w:rPr>
        <w:t xml:space="preserve">Most of the territory of Bulgaria is part of the so-called South-Balkan extensional region, which is a moderately active part of the Alpo-Himalayan seismic belt. Therefore, ground motion models for tectonically active regions were considered in the study. In addition to the shallow crustal seismicity, there is also an intermediate-depth source under the Vrancea Mountain in Romania, which requires the use of GMPEs for subduction earthquakes. </w:t>
      </w:r>
    </w:p>
    <w:p w:rsidR="00AD7865" w:rsidRPr="00AD7865" w:rsidRDefault="00AD7865" w:rsidP="00AD7865">
      <w:pPr>
        <w:pStyle w:val="-"/>
        <w:rPr>
          <w:lang w:val="en-US"/>
        </w:rPr>
      </w:pPr>
      <w:r w:rsidRPr="00AD7865">
        <w:rPr>
          <w:lang w:val="en-US"/>
        </w:rPr>
        <w:t xml:space="preserve">In the report an updated set of GMPEs to take into account the latest studies performed after the completion of the SHARE project in 2014 are used. The selection process of adequate GMPEs started from a comprehensive list of available ground motion models to which a set of exclusion criteria was applied according to the similarity of the tectonic environment, clarity of the underlying datasets, frequency ranges of the predictive equations, the regression model, the definition of the prediction variables, international recognition, etc. </w:t>
      </w:r>
    </w:p>
    <w:p w:rsidR="00AD7865" w:rsidRPr="00AD7865" w:rsidRDefault="00AD7865" w:rsidP="00AD7865">
      <w:pPr>
        <w:pStyle w:val="-"/>
        <w:rPr>
          <w:lang w:val="en-US"/>
        </w:rPr>
      </w:pPr>
      <w:r w:rsidRPr="00AD7865">
        <w:rPr>
          <w:lang w:val="en-US"/>
        </w:rPr>
        <w:t>Finally, a balanced logic tree from the following four ground motion models for shallow seismicity is composed: Bindi et al. (2014) with weight 0.3; Akkar et al. (2014) with weight 0.3; Abrahamson et al. (2013) with weight 0.2; Campbell &amp; Bozorgnia (2014) with weight 0.2.</w:t>
      </w:r>
    </w:p>
    <w:p w:rsidR="00AD7865" w:rsidRPr="00AD7865" w:rsidRDefault="00AD7865" w:rsidP="00AD7865">
      <w:pPr>
        <w:pStyle w:val="-"/>
        <w:rPr>
          <w:lang w:val="en-US"/>
        </w:rPr>
      </w:pPr>
      <w:r w:rsidRPr="00AD7865">
        <w:rPr>
          <w:lang w:val="en-US"/>
        </w:rPr>
        <w:t xml:space="preserve">The Vrancea subduction zone is associated with the following three GMPEs: Abrahamson et al. (2016) with weight 0.34; Youngs et al. (1997) with weight 0.33; Lin and Lee (2008) with weight 0.334. Two of the selected GMPEs (Youngs, et al., 1997; Lin &amp; Lee, 2008) were used in the SHARE and the new attenuation model is Abrahamson et al. (2016) which is nowadays commonly selected </w:t>
      </w:r>
      <w:r w:rsidRPr="00AD7865">
        <w:rPr>
          <w:lang w:val="en-US"/>
        </w:rPr>
        <w:lastRenderedPageBreak/>
        <w:t>for the representation of subduction zones. Details and justifications for the screening process of the GMPEs are provided in Appendix E.</w:t>
      </w:r>
    </w:p>
    <w:p w:rsidR="00AD7865" w:rsidRPr="00AD7865" w:rsidRDefault="00AD7865" w:rsidP="00AD7865">
      <w:pPr>
        <w:pStyle w:val="-"/>
        <w:rPr>
          <w:lang w:val="en-US"/>
        </w:rPr>
      </w:pPr>
      <w:r w:rsidRPr="00AD7865">
        <w:rPr>
          <w:lang w:val="en-US"/>
        </w:rPr>
        <w:t>In the report the representation of the soil properties of the subgrade was defined by the engineering parameter Vs30 - time-averaged shear-wave velocity in the upper 30 m of the soil/rock profile. The Vs30 values were obtained from the USGS slope-based global map (https://earthquake.usgs.gov/data/vs30/) for each of the 264 municipality towns in Bulgaria. These values are an assumption that had to make due to the lack of nation-wide database for measured Vs30. Details are presented in Appendix E and F.</w:t>
      </w:r>
    </w:p>
    <w:p w:rsidR="00AD7865" w:rsidRPr="00AD7865" w:rsidRDefault="00AD7865" w:rsidP="00AD7865">
      <w:pPr>
        <w:pStyle w:val="-"/>
        <w:rPr>
          <w:lang w:val="en-US"/>
        </w:rPr>
      </w:pPr>
      <w:r w:rsidRPr="00AD7865">
        <w:rPr>
          <w:lang w:val="en-US"/>
        </w:rPr>
        <w:t xml:space="preserve">A set of deterministic scenarios for five of the largest earthquake-prone cities in Bulgaria are presented in the report. The scenario earthquakes were defined as single events with discrete sets of kinematic parameters, originating from known active faults close to the populated areas. Concerning the fact that most of the largest observed earthquakes in Bulgaria occurred before the instrumental seismological observations period a typical crustal earthquake depth of 10 km is selected for all scenario earthquakes. Two types of deterministic scenarios were defined: scenarios corresponding to the 475yrs return period with maximum magnitude according to the deaggregation of the PSHA for this return period, which is named as “design” scenario, since this return period is normally associated with the seismic design requirements; and large earthquake scenarios based on either the largest observed earthquake or the maximal seismogenic potential of the causative faults defined in the SHARE project. The definition of the deterministic scenarios and the final selection of deterministic seismic events are also discussed with the seismic-hazard experts from BAS. </w:t>
      </w:r>
    </w:p>
    <w:p w:rsidR="00AD7865" w:rsidRPr="00AD7865" w:rsidRDefault="00AD7865" w:rsidP="00AD7865">
      <w:pPr>
        <w:pStyle w:val="-"/>
        <w:rPr>
          <w:lang w:val="en-US"/>
        </w:rPr>
      </w:pPr>
      <w:r w:rsidRPr="00AD7865">
        <w:rPr>
          <w:lang w:val="en-US"/>
        </w:rPr>
        <w:t>The hazard results are presented on maps and charts and are provided in tables and GIScompatible datasets. The data is intended to be fully open, available for local scientists and engineers. The output includes:</w:t>
      </w:r>
    </w:p>
    <w:p w:rsidR="00AD7865" w:rsidRPr="00AD7865" w:rsidRDefault="00AD7865" w:rsidP="00AD7865">
      <w:pPr>
        <w:pStyle w:val="-"/>
        <w:rPr>
          <w:lang w:val="en-US"/>
        </w:rPr>
      </w:pPr>
      <w:r w:rsidRPr="00AD7865">
        <w:rPr>
          <w:lang w:val="en-US"/>
        </w:rPr>
        <w:t>PSHA maps of Bulgaria for PGA for rock and soil ground conditions and for five return periods: 72yrs (50% PoE in 50yrs), 225yrs (20% PoE in 50yrs), 475yrs (10% PoE in 50yrs), 2475yrs (2% PoE in 50yrs) and 9975yrs (0.5% PoE in 50yrs). The ground motion return periods were selected such as to cover a wide range of probable ground motions often used in performance-based seismic design and assessment. The levels increase gradually from low intensity events with high likelihood to happen during the building lifetime, through the codified design intensities (10% PoE in 50yrs), to very rare strong beyond-design events (0.5% PoE in 50yrs), typically used for the assessment of critical infrastructure. The “generic rock” conditions correspond to Vs30=800m/s and the “soil ground” conditions to Vs30 values according to the USGS slope-based global map. All the maps are listed in Appendix A. Appendix A also contains tables with the results for six structural periods: 0.1s, 0.2s, 0.4s, 1.0s, 2.0s and 3.0s;</w:t>
      </w:r>
    </w:p>
    <w:p w:rsidR="00AD7865" w:rsidRPr="00AD7865" w:rsidRDefault="00AD7865" w:rsidP="00AD7865">
      <w:pPr>
        <w:pStyle w:val="-"/>
        <w:rPr>
          <w:lang w:val="en-US"/>
        </w:rPr>
      </w:pPr>
      <w:r w:rsidRPr="00AD7865">
        <w:rPr>
          <w:lang w:val="en-US"/>
        </w:rPr>
        <w:t>Detailed PSHA maps for ground surface of the eight largest cities in Bulgaria (Sofia, Plovdiv,</w:t>
      </w:r>
    </w:p>
    <w:p w:rsidR="00AD7865" w:rsidRPr="00AD7865" w:rsidRDefault="00AD7865" w:rsidP="00AD7865">
      <w:pPr>
        <w:pStyle w:val="-"/>
        <w:rPr>
          <w:lang w:val="en-US"/>
        </w:rPr>
      </w:pPr>
      <w:r w:rsidRPr="00AD7865">
        <w:rPr>
          <w:lang w:val="en-US"/>
        </w:rPr>
        <w:t xml:space="preserve">Varna, Burgas, Stara Zagora, Ruse, Veliko Tarnovo, Blagoevgrad) for PGA for 475 yrs return period. The Vs30 values at different locations within the boundaries of the city were defined according to the USGS slope-based global map. All maps are presented in Appendix B. </w:t>
      </w:r>
    </w:p>
    <w:p w:rsidR="00AD7865" w:rsidRPr="00AD7865" w:rsidRDefault="00AD7865" w:rsidP="00AD7865">
      <w:pPr>
        <w:pStyle w:val="-"/>
        <w:rPr>
          <w:lang w:val="en-US"/>
        </w:rPr>
      </w:pPr>
      <w:r w:rsidRPr="00AD7865">
        <w:rPr>
          <w:lang w:val="en-US"/>
        </w:rPr>
        <w:t xml:space="preserve"> Mean seismic hazard curves for selected sites in each of the considered city, for generic rock conditions and ground surface and for PGA and structural periods 0.1s, 0.2s, 0.4s, 1.0s, 2.0s and 3.0s. Appendix B presents the curves for sites in the eight largest cities in Bulgaria for PGA for generic rock conditions and ground surface conditions. </w:t>
      </w:r>
    </w:p>
    <w:p w:rsidR="00AD7865" w:rsidRPr="00AD7865" w:rsidRDefault="00AD7865" w:rsidP="00AD7865">
      <w:pPr>
        <w:pStyle w:val="-"/>
        <w:rPr>
          <w:lang w:val="en-US"/>
        </w:rPr>
      </w:pPr>
      <w:r w:rsidRPr="00AD7865">
        <w:rPr>
          <w:lang w:val="en-US"/>
        </w:rPr>
        <w:t>Deaggregation of the seismic hazard for selected sites in Sofia, Plovdiv, Varna, Ruse and Blagoevgrad for 475 yrs and 2475 yrs return period for PGA and structural period of 0.4s and 1.0s. The results are presented with magnitude-distance histograms in Appendix B;</w:t>
      </w:r>
    </w:p>
    <w:p w:rsidR="00AD7865" w:rsidRPr="00AD7865" w:rsidRDefault="00AD7865" w:rsidP="00AD7865">
      <w:pPr>
        <w:pStyle w:val="-"/>
        <w:rPr>
          <w:lang w:val="en-US"/>
        </w:rPr>
      </w:pPr>
      <w:r w:rsidRPr="00AD7865">
        <w:rPr>
          <w:lang w:val="en-US"/>
        </w:rPr>
        <w:t>Deterministic scenario maps of the five major cities with ground motion fields for the assumed ground conditions, for PGA and structural period 0.4s. The analyzed deterministic scenarios are listed in Table 2. All maps, including 15th and 85th percentile, are attached in Appendix C.</w:t>
      </w:r>
    </w:p>
    <w:p w:rsidR="00AD7865" w:rsidRPr="00AD7865" w:rsidRDefault="00AD7865" w:rsidP="00AD7865">
      <w:pPr>
        <w:pStyle w:val="-"/>
        <w:rPr>
          <w:lang w:val="en-US"/>
        </w:rPr>
      </w:pPr>
      <w:r w:rsidRPr="00AD7865">
        <w:rPr>
          <w:lang w:val="en-US"/>
        </w:rPr>
        <w:lastRenderedPageBreak/>
        <w:t xml:space="preserve">The results obtained from the current model, referred in the report as BUL18, were compared with those of the SHARE (2014) model and the Bulgarian national seismic map BAS09 (Solakov et al., 2009), prepared by BAS and included in the current National Annex of EN 1998-1:2004. Table 3 (presented in page 11) lists the PGA values for rock for the eight major cities in Bulgaria. The results from BUL18 for TR=475 yrs are comparable to those from SHARE and BUL18.for almost all cities. For 475 years return period the difference between BUL18 and SHARE is less than 15%, with the exception for Veliko Tarnovo. </w:t>
      </w:r>
    </w:p>
    <w:p w:rsidR="00AD7865" w:rsidRPr="00AD7865" w:rsidRDefault="00AD7865" w:rsidP="00AD7865">
      <w:pPr>
        <w:pStyle w:val="-"/>
        <w:rPr>
          <w:lang w:val="en-US"/>
        </w:rPr>
      </w:pPr>
      <w:r w:rsidRPr="00AD7865">
        <w:rPr>
          <w:lang w:val="en-US"/>
        </w:rPr>
        <w:t xml:space="preserve">Finally, it is clearly stated in the report that the presented seismic hazard does not substitute the existing official national seismic hazard model and the seismic design parameters for the territory of Bulgaria. The results of the study should neither be used outside the realms of the project, nor as a legal document for seismic demand in design and/or assessment of structures. The PSHA and DSHA results should not be used as a replacement for site specific seismic hazard studies for design or assessment of stand-alone buildings and critical infrastructure. </w:t>
      </w:r>
    </w:p>
    <w:p w:rsidR="00AD7865" w:rsidRPr="00EF3ADF" w:rsidRDefault="00AD7865" w:rsidP="00AD7865">
      <w:pPr>
        <w:pStyle w:val="-"/>
        <w:rPr>
          <w:b/>
          <w:lang w:val="en-US"/>
        </w:rPr>
      </w:pPr>
      <w:r w:rsidRPr="00EF3ADF">
        <w:rPr>
          <w:b/>
          <w:lang w:val="en-US"/>
        </w:rPr>
        <w:t>OBSERVATIONS</w:t>
      </w:r>
    </w:p>
    <w:p w:rsidR="00AD7865" w:rsidRPr="00AD7865" w:rsidRDefault="00AD7865" w:rsidP="00AD7865">
      <w:pPr>
        <w:pStyle w:val="-"/>
        <w:rPr>
          <w:lang w:val="en-US"/>
        </w:rPr>
      </w:pPr>
      <w:r w:rsidRPr="00AD7865">
        <w:rPr>
          <w:lang w:val="en-US"/>
        </w:rPr>
        <w:t xml:space="preserve">The PGA values given in Bulgarian Hazard Map (Solakov et al., 2009), referred in the report as BAS09 and that are presented in Tables 3 (page 11) and 4 (page 282) are reference acceleration i.e. acceleration to be used for design purposes. Each reference acceleration corresponds to a range of accelerations thus 0.11g reference acceleration corresponds to a range [0.09g -0.13g), 0.15g – [0.13g-0.18g), 0.23g – [0.18g-0.26g) and 0.32g correspond to PGA larger than 0.26g. </w:t>
      </w:r>
    </w:p>
    <w:p w:rsidR="00AD7865" w:rsidRDefault="00AD7865" w:rsidP="00AD7865">
      <w:pPr>
        <w:pStyle w:val="-"/>
        <w:rPr>
          <w:lang w:val="en-US"/>
        </w:rPr>
      </w:pPr>
      <w:r w:rsidRPr="00AD7865">
        <w:rPr>
          <w:lang w:val="en-US"/>
        </w:rPr>
        <w:t xml:space="preserve">The city of Plovdiv is with reference acceleration 0.23 but is close to 0.26g contour i.e. a value of 0.25g could be accepted for the city of Plovdiv. The city of V. Turnovo is on the contour of 0.18g and the PGA value for the city of Blagoevgrad is 0.28g. It is recommended these values to be considered </w:t>
      </w:r>
      <w:r w:rsidR="00FC5118">
        <w:rPr>
          <w:lang w:val="en-US"/>
        </w:rPr>
        <w:t>as PGA values for BAS09</w:t>
      </w:r>
      <w:r w:rsidRPr="00AD7865">
        <w:rPr>
          <w:lang w:val="en-US"/>
        </w:rPr>
        <w:t xml:space="preserve">. </w:t>
      </w:r>
    </w:p>
    <w:p w:rsidR="0050396E" w:rsidRPr="00946E74" w:rsidRDefault="0050396E" w:rsidP="00AD7865">
      <w:pPr>
        <w:pStyle w:val="-"/>
        <w:rPr>
          <w:b/>
          <w:i/>
          <w:lang w:val="en-US"/>
        </w:rPr>
      </w:pPr>
      <w:r w:rsidRPr="00946E74">
        <w:rPr>
          <w:b/>
          <w:i/>
          <w:lang w:val="en-US"/>
        </w:rPr>
        <w:t xml:space="preserve">Appendix </w:t>
      </w:r>
      <w:r w:rsidR="00946E74" w:rsidRPr="00946E74">
        <w:rPr>
          <w:b/>
          <w:i/>
          <w:lang w:val="en-US"/>
        </w:rPr>
        <w:t>A</w:t>
      </w:r>
      <w:r w:rsidRPr="00946E74">
        <w:rPr>
          <w:b/>
          <w:i/>
          <w:lang w:val="en-US"/>
        </w:rPr>
        <w:t xml:space="preserve"> – “Maps and graphs with the PSHA results for the eight largest cities in Bulgaria”</w:t>
      </w:r>
    </w:p>
    <w:p w:rsidR="00946E74" w:rsidRPr="00AD7865" w:rsidRDefault="00946E74" w:rsidP="00AD7865">
      <w:pPr>
        <w:pStyle w:val="-"/>
        <w:rPr>
          <w:lang w:val="en-US"/>
        </w:rPr>
      </w:pPr>
      <w:r>
        <w:rPr>
          <w:lang w:val="en-US"/>
        </w:rPr>
        <w:t>It is recommended to be explained what is given in Table 6 – probability of exceedance in 50 years.</w:t>
      </w:r>
    </w:p>
    <w:p w:rsidR="00AD7865" w:rsidRDefault="00AD7865" w:rsidP="00AD7865">
      <w:pPr>
        <w:pStyle w:val="-"/>
        <w:rPr>
          <w:b/>
          <w:i/>
          <w:lang w:val="en-US"/>
        </w:rPr>
      </w:pPr>
      <w:r w:rsidRPr="00EF3ADF">
        <w:rPr>
          <w:b/>
          <w:i/>
          <w:lang w:val="en-US"/>
        </w:rPr>
        <w:t>Appendix B – “Maps and graphs with the PSHA results for Bulgaria”</w:t>
      </w:r>
    </w:p>
    <w:p w:rsidR="00AD7865" w:rsidRPr="00AD7865" w:rsidRDefault="00AD7865" w:rsidP="00AD7865">
      <w:pPr>
        <w:pStyle w:val="-"/>
        <w:rPr>
          <w:lang w:val="en-US"/>
        </w:rPr>
      </w:pPr>
      <w:r w:rsidRPr="00AD7865">
        <w:rPr>
          <w:lang w:val="en-US"/>
        </w:rPr>
        <w:t>The PGA and spectral accelerations for TR=475yr and TR=2475yr given in Table 4, (pages 33-47) differ from those considered in the magnitude-distance deaggregation for the cities of Plovduv, Varna, Ruse and Blagoevgrad (presented in the figures: 29 (page 158), 32 (page 160), 39 (page164) and 44 (page 167), respectively). The results will be comparable if the same sites and accelerations for hazard curves and for magnitude-distance deaggregation are used in the calculation.</w:t>
      </w:r>
    </w:p>
    <w:p w:rsidR="00AD7865" w:rsidRPr="00AD7865" w:rsidRDefault="00AD7865" w:rsidP="00AD7865">
      <w:pPr>
        <w:pStyle w:val="-"/>
        <w:rPr>
          <w:lang w:val="en-US"/>
        </w:rPr>
      </w:pPr>
      <w:r w:rsidRPr="00AD7865">
        <w:rPr>
          <w:lang w:val="en-US"/>
        </w:rPr>
        <w:t xml:space="preserve">It is not mentioned what kind of distance is used in magnitude-distance deaggregation – epicentral, hypocentral, rupture or RJB. The results could be significantly different for different distances. </w:t>
      </w:r>
    </w:p>
    <w:p w:rsidR="00AD7865" w:rsidRPr="00EF3ADF" w:rsidRDefault="00AD7865" w:rsidP="00AD7865">
      <w:pPr>
        <w:pStyle w:val="-"/>
        <w:rPr>
          <w:b/>
          <w:i/>
          <w:lang w:val="en-US"/>
        </w:rPr>
      </w:pPr>
      <w:r w:rsidRPr="00EF3ADF">
        <w:rPr>
          <w:b/>
          <w:i/>
          <w:lang w:val="en-US"/>
        </w:rPr>
        <w:t>Appendix C “Maps and tables with the results from the Deterministic scenarios for five major cities in Bulgaria”</w:t>
      </w:r>
    </w:p>
    <w:p w:rsidR="00AD7865" w:rsidRPr="00AD7865" w:rsidRDefault="00AD7865" w:rsidP="00AD7865">
      <w:pPr>
        <w:pStyle w:val="-"/>
        <w:rPr>
          <w:lang w:val="en-US"/>
        </w:rPr>
      </w:pPr>
      <w:r w:rsidRPr="00AD7865">
        <w:rPr>
          <w:lang w:val="en-US"/>
        </w:rPr>
        <w:t xml:space="preserve">For deterministic scenarios Monte Carlo approach is used. The median and percentiles are evaluated on the base of 100 simulations for each of the GMPE’s. The standard deviation of the mean value evaluated by Monte Carlo is σ/√N, where </w:t>
      </w:r>
      <w:r w:rsidRPr="00AD7865">
        <w:rPr>
          <w:rFonts w:ascii="Symbol" w:hAnsi="Symbol"/>
          <w:lang w:val="en-US"/>
        </w:rPr>
        <w:t></w:t>
      </w:r>
      <w:r w:rsidRPr="00AD7865">
        <w:rPr>
          <w:lang w:val="en-US"/>
        </w:rPr>
        <w:t xml:space="preserve"> is the standard deviation of the GMPE and N is number of simulations. </w:t>
      </w:r>
    </w:p>
    <w:p w:rsidR="00AD7865" w:rsidRPr="00AD7865" w:rsidRDefault="00AD7865" w:rsidP="00AD7865">
      <w:pPr>
        <w:pStyle w:val="-"/>
        <w:rPr>
          <w:lang w:val="en-US"/>
        </w:rPr>
      </w:pPr>
      <w:r w:rsidRPr="00AD7865">
        <w:rPr>
          <w:lang w:val="en-US"/>
        </w:rPr>
        <w:t xml:space="preserve">For example, for Akkar et al. (2014) GMPE </w:t>
      </w:r>
      <w:r w:rsidRPr="00AD7865">
        <w:rPr>
          <w:rFonts w:ascii="Symbol" w:hAnsi="Symbol"/>
          <w:lang w:val="en-US"/>
        </w:rPr>
        <w:t></w:t>
      </w:r>
      <w:r w:rsidRPr="00AD7865">
        <w:rPr>
          <w:lang w:val="en-US"/>
        </w:rPr>
        <w:t xml:space="preserve">=0.71 for PGA, </w:t>
      </w:r>
      <w:r w:rsidRPr="00AD7865">
        <w:rPr>
          <w:rFonts w:ascii="Symbol" w:hAnsi="Symbol"/>
          <w:lang w:val="en-US"/>
        </w:rPr>
        <w:t></w:t>
      </w:r>
      <w:r w:rsidRPr="00AD7865">
        <w:rPr>
          <w:lang w:val="en-US"/>
        </w:rPr>
        <w:t xml:space="preserve">=0.76 for spectral period 0.2, and </w:t>
      </w:r>
      <w:r w:rsidRPr="00AD7865">
        <w:rPr>
          <w:rFonts w:ascii="Symbol" w:hAnsi="Symbol"/>
          <w:lang w:val="en-US"/>
        </w:rPr>
        <w:t></w:t>
      </w:r>
      <w:r w:rsidRPr="00AD7865">
        <w:rPr>
          <w:lang w:val="en-US"/>
        </w:rPr>
        <w:t xml:space="preserve">=0.78 for spectral period 0.4. Therefore, the standard deviations of the estimated mean will be 0.071, 0.076 and 0.078 respectively. </w:t>
      </w:r>
    </w:p>
    <w:p w:rsidR="00AD7865" w:rsidRPr="00AD7865" w:rsidRDefault="00AD7865" w:rsidP="00AD7865">
      <w:pPr>
        <w:pStyle w:val="-"/>
        <w:rPr>
          <w:lang w:val="en-US"/>
        </w:rPr>
      </w:pPr>
      <w:r w:rsidRPr="00AD7865">
        <w:rPr>
          <w:lang w:val="en-US"/>
        </w:rPr>
        <w:t xml:space="preserve">The errors will increase in the deterministic scenarios where median values are estimated for separate points using 4 different GMPE’s. Therefore, using 100 simulations does not ensure acceptable accuracy of the estimates. </w:t>
      </w:r>
    </w:p>
    <w:p w:rsidR="00AD7865" w:rsidRPr="00AD7865" w:rsidRDefault="00AD7865" w:rsidP="00AD7865">
      <w:pPr>
        <w:pStyle w:val="-"/>
        <w:rPr>
          <w:lang w:val="en-US"/>
        </w:rPr>
      </w:pPr>
      <w:r w:rsidRPr="00AD7865">
        <w:rPr>
          <w:lang w:val="en-US"/>
        </w:rPr>
        <w:lastRenderedPageBreak/>
        <w:t xml:space="preserve">For example, for Sofia design scenario, North fault (Table 8, page 219), for sites 0 and 1 (site_id 0 and 1 in the Table 8) the PGA median values (med_PGA in the Table 8) are 0.32, while median values for period 0.1s are 0.63 and 0.57 respectively, for 0.2s – 0.77 and 0.67 respectively, for 0.4s – 0.64 and 0.51 respectively. The differences in spectral period values are greater than 10-20%. The differences in 85% percentiles values reach 25%. </w:t>
      </w:r>
    </w:p>
    <w:p w:rsidR="00AD7865" w:rsidRPr="00AD7865" w:rsidRDefault="00AD7865" w:rsidP="00AD7865">
      <w:pPr>
        <w:pStyle w:val="-"/>
        <w:rPr>
          <w:lang w:val="en-US"/>
        </w:rPr>
      </w:pPr>
      <w:r w:rsidRPr="00AD7865">
        <w:rPr>
          <w:lang w:val="en-US"/>
        </w:rPr>
        <w:t xml:space="preserve">Another example are points 1 and 2 (site_id 1 and 2 in the Table 8) with PGA values 0.32 and 0.29 respectively. The median values for period 0.2s are 0.67 and 0.79 and for 0.4s – 0.51 and 0.65. The PGA value for point 2 is less than that for point 1 (10%), while for periods 0.2s and 0.4s the PGA values for point 2 are significantly larger than for point 1 (10-20%). The median and 85% response spectra for the consider three sites (mark by 0, 1 and 2) are presented in the figure below. </w:t>
      </w:r>
    </w:p>
    <w:p w:rsidR="00AD7865" w:rsidRPr="00AD7865" w:rsidRDefault="00AD7865" w:rsidP="00AD7865">
      <w:pPr>
        <w:pStyle w:val="-"/>
        <w:jc w:val="center"/>
        <w:rPr>
          <w:lang w:val="en-US"/>
        </w:rPr>
      </w:pPr>
      <w:r>
        <w:rPr>
          <w:noProof/>
          <w:szCs w:val="24"/>
          <w:lang w:val="en-US"/>
        </w:rPr>
        <w:drawing>
          <wp:inline distT="0" distB="0" distL="0" distR="0">
            <wp:extent cx="5738400" cy="375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8400" cy="3754800"/>
                    </a:xfrm>
                    <a:prstGeom prst="rect">
                      <a:avLst/>
                    </a:prstGeom>
                    <a:noFill/>
                    <a:ln>
                      <a:noFill/>
                    </a:ln>
                  </pic:spPr>
                </pic:pic>
              </a:graphicData>
            </a:graphic>
          </wp:inline>
        </w:drawing>
      </w:r>
    </w:p>
    <w:p w:rsidR="00AD7865" w:rsidRPr="00AD7865" w:rsidRDefault="00AD7865" w:rsidP="00AD7865">
      <w:pPr>
        <w:pStyle w:val="-"/>
        <w:rPr>
          <w:lang w:val="en-US"/>
        </w:rPr>
      </w:pPr>
      <w:r w:rsidRPr="00AD7865">
        <w:rPr>
          <w:lang w:val="en-US"/>
        </w:rPr>
        <w:t xml:space="preserve">Such differences could be seen in the scenarios for all the considered cities. These differences could not be related to the soil conditions. </w:t>
      </w:r>
    </w:p>
    <w:p w:rsidR="00AD7865" w:rsidRPr="00AD7865" w:rsidRDefault="00AD7865" w:rsidP="00AD7865">
      <w:pPr>
        <w:pStyle w:val="-"/>
        <w:rPr>
          <w:lang w:val="en-US"/>
        </w:rPr>
      </w:pPr>
      <w:r w:rsidRPr="00AD7865">
        <w:rPr>
          <w:lang w:val="en-US"/>
        </w:rPr>
        <w:t>The above stated should be consider in the interpretation of risk results and the final conclusions.</w:t>
      </w:r>
    </w:p>
    <w:p w:rsidR="00AD7865" w:rsidRPr="00EF3ADF" w:rsidRDefault="00AD7865" w:rsidP="00AD7865">
      <w:pPr>
        <w:pStyle w:val="-"/>
        <w:rPr>
          <w:b/>
          <w:i/>
          <w:lang w:val="en-US"/>
        </w:rPr>
      </w:pPr>
      <w:r w:rsidRPr="00EF3ADF">
        <w:rPr>
          <w:b/>
          <w:i/>
          <w:lang w:val="en-US"/>
        </w:rPr>
        <w:t>Appendix E. PSHA of Bulgaria – details of the analysis process</w:t>
      </w:r>
    </w:p>
    <w:p w:rsidR="00AD7865" w:rsidRPr="00AD7865" w:rsidRDefault="00AD7865" w:rsidP="00AD7865">
      <w:pPr>
        <w:pStyle w:val="-"/>
        <w:rPr>
          <w:lang w:val="en-US"/>
        </w:rPr>
      </w:pPr>
      <w:r w:rsidRPr="00AD7865">
        <w:rPr>
          <w:lang w:val="en-US"/>
        </w:rPr>
        <w:t>Chapter 3.3 in Appendix E is not informative. USGS catalogue could not be used to test the SHARE magnitude probability density functions. The catalogue is not complete for small magnitudes (less than 4.0) for the considered region. Additionally, as it is mentioned in the report, the magnitudes are not in seismic moment magnitude scale, Mw (some of them are Ml other are Mb or Md). Using magnitudes in different scales could lead to wrong conclusions.</w:t>
      </w:r>
    </w:p>
    <w:p w:rsidR="00AD7865" w:rsidRPr="00AD7865" w:rsidRDefault="00AD7865" w:rsidP="00AD7865">
      <w:pPr>
        <w:pStyle w:val="-"/>
        <w:rPr>
          <w:lang w:val="en-US"/>
        </w:rPr>
      </w:pPr>
      <w:r w:rsidRPr="00AD7865">
        <w:rPr>
          <w:lang w:val="en-US"/>
        </w:rPr>
        <w:t>There are some mistakes in the last two columns of the Table 1 (page 268). The actual number of earthquakes in BGAS226 (Plovdiv) is 2 (one of them is aftershock) not 4 as reported in the table (column 8). The expected number of earthquakes (column 7) for source MKAS212 (Blagoevgrad) with magnitudes larger than 3.95 (value of 3.95 instead of 4 as minimum magnitude have to be used due to the rounding) is 9 not 8. There are no earthquakes for the source BGAS201 (Varna) in USGS catalogue while the expected number of earthquakes with Mw&gt;2.95 is 24 and for Mw&gt;3.95 is 3 for this source.</w:t>
      </w:r>
    </w:p>
    <w:p w:rsidR="00AD7865" w:rsidRPr="00AD7865" w:rsidRDefault="00AD7865" w:rsidP="00AD7865">
      <w:pPr>
        <w:pStyle w:val="-"/>
        <w:rPr>
          <w:lang w:val="en-US"/>
        </w:rPr>
      </w:pPr>
      <w:r w:rsidRPr="00AD7865">
        <w:rPr>
          <w:lang w:val="en-US"/>
        </w:rPr>
        <w:lastRenderedPageBreak/>
        <w:t>On the base of the data from USGS catalogue the conclusion that magnitude-frequency relations used in SHARE overestimate the observations seems to be more acceptable than the conclusion given in the report.</w:t>
      </w:r>
    </w:p>
    <w:p w:rsidR="00AD7865" w:rsidRPr="00AD7865" w:rsidRDefault="00AD7865" w:rsidP="00AD7865">
      <w:pPr>
        <w:pStyle w:val="-"/>
        <w:rPr>
          <w:lang w:val="en-US"/>
        </w:rPr>
      </w:pPr>
      <w:r w:rsidRPr="00AD7865">
        <w:rPr>
          <w:lang w:val="en-US"/>
        </w:rPr>
        <w:t>The results presented in Table 2 (page 273) are not representative for comparison and ranking of GMPE’s due to:</w:t>
      </w:r>
    </w:p>
    <w:p w:rsidR="00AD7865" w:rsidRPr="00AD7865" w:rsidRDefault="00AD7865" w:rsidP="00AD7865">
      <w:pPr>
        <w:pStyle w:val="-"/>
        <w:rPr>
          <w:lang w:val="en-US"/>
        </w:rPr>
      </w:pPr>
      <w:r w:rsidRPr="00AD7865">
        <w:rPr>
          <w:lang w:val="en-US"/>
        </w:rPr>
        <w:t>-</w:t>
      </w:r>
      <w:r w:rsidRPr="00AD7865">
        <w:rPr>
          <w:lang w:val="en-US"/>
        </w:rPr>
        <w:tab/>
        <w:t>Extremely small number of observations.</w:t>
      </w:r>
    </w:p>
    <w:p w:rsidR="00AD7865" w:rsidRPr="00AD7865" w:rsidRDefault="00AD7865" w:rsidP="00AD7865">
      <w:pPr>
        <w:pStyle w:val="-"/>
        <w:rPr>
          <w:lang w:val="en-US"/>
        </w:rPr>
      </w:pPr>
      <w:r w:rsidRPr="00AD7865">
        <w:rPr>
          <w:lang w:val="en-US"/>
        </w:rPr>
        <w:t>-</w:t>
      </w:r>
      <w:r w:rsidRPr="00AD7865">
        <w:rPr>
          <w:lang w:val="en-US"/>
        </w:rPr>
        <w:tab/>
        <w:t>Using of only one earthquake.</w:t>
      </w:r>
    </w:p>
    <w:p w:rsidR="00AD7865" w:rsidRPr="00AD7865" w:rsidRDefault="00AD7865" w:rsidP="00AD7865">
      <w:pPr>
        <w:pStyle w:val="-"/>
        <w:rPr>
          <w:lang w:val="en-US"/>
        </w:rPr>
      </w:pPr>
      <w:r w:rsidRPr="00AD7865">
        <w:rPr>
          <w:lang w:val="en-US"/>
        </w:rPr>
        <w:t>-</w:t>
      </w:r>
      <w:r w:rsidRPr="00AD7865">
        <w:rPr>
          <w:lang w:val="en-US"/>
        </w:rPr>
        <w:tab/>
        <w:t>Most of the sites are with not defined site conditions.</w:t>
      </w:r>
    </w:p>
    <w:p w:rsidR="00AD7865" w:rsidRPr="00AD7865" w:rsidRDefault="00AD7865" w:rsidP="00AD7865">
      <w:pPr>
        <w:pStyle w:val="-"/>
        <w:rPr>
          <w:lang w:val="en-US"/>
        </w:rPr>
      </w:pPr>
      <w:r w:rsidRPr="00AD7865">
        <w:rPr>
          <w:lang w:val="en-US"/>
        </w:rPr>
        <w:t>-</w:t>
      </w:r>
      <w:r w:rsidRPr="00AD7865">
        <w:rPr>
          <w:lang w:val="en-US"/>
        </w:rPr>
        <w:tab/>
        <w:t>Only mean value of the differences between predicted and observed values is not representative parameter for comparison. The variance should also be considered. For example, the mean value of the differences for Bindi 2014 GMPE is 1% but the scatter is large.</w:t>
      </w:r>
    </w:p>
    <w:p w:rsidR="00AD7865" w:rsidRPr="00AD7865" w:rsidRDefault="00AD7865" w:rsidP="00AD7865">
      <w:pPr>
        <w:pStyle w:val="-"/>
        <w:rPr>
          <w:lang w:val="en-US"/>
        </w:rPr>
      </w:pPr>
      <w:r w:rsidRPr="00AD7865">
        <w:rPr>
          <w:lang w:val="en-US"/>
        </w:rPr>
        <w:t>-</w:t>
      </w:r>
      <w:r w:rsidRPr="00AD7865">
        <w:rPr>
          <w:lang w:val="en-US"/>
        </w:rPr>
        <w:tab/>
        <w:t>The USGS Vs30 velocities (column 6) are used in the computations but they are not in accordance of the Site class (column 5). For example, for lines 4 and 5 the site conditions are “Rock” and Vs30 are less than 400.</w:t>
      </w:r>
    </w:p>
    <w:p w:rsidR="00AD7865" w:rsidRPr="00AD7865" w:rsidRDefault="00AD7865" w:rsidP="00AD7865">
      <w:pPr>
        <w:pStyle w:val="-"/>
        <w:rPr>
          <w:lang w:val="en-US"/>
        </w:rPr>
      </w:pPr>
      <w:r w:rsidRPr="00AD7865">
        <w:rPr>
          <w:lang w:val="en-US"/>
        </w:rPr>
        <w:t>It is not clear what means “BUL2018/SHARE” in the legend of the figures 36 and 37 (page 283). It can be assumed (concerning the explanation on page 322 “The ratio DSHA/PSHA at each point is obtained by the following equation (DSHA-PSHA)/DSHA*100) that in the case:</w:t>
      </w:r>
    </w:p>
    <w:p w:rsidR="00AD7865" w:rsidRPr="00AD7865" w:rsidRDefault="00AD7865" w:rsidP="00AD7865">
      <w:pPr>
        <w:pStyle w:val="-"/>
        <w:rPr>
          <w:lang w:val="en-US"/>
        </w:rPr>
      </w:pPr>
      <w:r w:rsidRPr="00AD7865">
        <w:rPr>
          <w:lang w:val="en-US"/>
        </w:rPr>
        <w:t xml:space="preserve">BUL2018/SHARE = (BUL2018 value-SHARE value)/SHARE value. </w:t>
      </w:r>
    </w:p>
    <w:p w:rsidR="00AD7865" w:rsidRPr="00AD7865" w:rsidRDefault="00AD7865" w:rsidP="00AD7865">
      <w:pPr>
        <w:pStyle w:val="-"/>
        <w:rPr>
          <w:lang w:val="en-US"/>
        </w:rPr>
      </w:pPr>
      <w:r w:rsidRPr="00AD7865">
        <w:rPr>
          <w:lang w:val="en-US"/>
        </w:rPr>
        <w:t xml:space="preserve">Regardless of the meaning of “BUL2018/SHARE” if the values of BUL2018 and SHARE are equal “BUL2018/SHARE” has to be 0. The hazard values for 2475 years return period for the cities of Veliko Tarnovo and Ruse are the same (Table 4, page 282) while in the Figure 37 “BUL2018/SHARE” is larger than 5%. </w:t>
      </w:r>
    </w:p>
    <w:p w:rsidR="00AD7865" w:rsidRPr="00AD7865" w:rsidRDefault="00AD7865" w:rsidP="00AD7865">
      <w:pPr>
        <w:pStyle w:val="-"/>
        <w:rPr>
          <w:lang w:val="en-US"/>
        </w:rPr>
      </w:pPr>
      <w:r w:rsidRPr="00AD7865">
        <w:rPr>
          <w:lang w:val="en-US"/>
        </w:rPr>
        <w:t xml:space="preserve">The SHARE hazard values for the city of Burgas are larger than BUL2018 hazard values (Table 4, page 282) but it is in the same range of “BUL2018/SHARE” values (between 5% and 15%) as the cities of Plovdiv, Veliko Tarnovo and Blagoevgrad for which SHARE hazard values are less than BUL2018 hazard values. </w:t>
      </w:r>
    </w:p>
    <w:p w:rsidR="00AD7865" w:rsidRPr="00AD7865" w:rsidRDefault="00AD7865" w:rsidP="00AD7865">
      <w:pPr>
        <w:pStyle w:val="-"/>
        <w:rPr>
          <w:lang w:val="en-US"/>
        </w:rPr>
      </w:pPr>
      <w:r w:rsidRPr="00AD7865">
        <w:rPr>
          <w:lang w:val="en-US"/>
        </w:rPr>
        <w:t>In general, the values given in Table 4 (page 282) are not in good agreement with the results presented in Figures 36 and 37.</w:t>
      </w:r>
    </w:p>
    <w:p w:rsidR="00AD7865" w:rsidRPr="00AD7865" w:rsidRDefault="00AD7865" w:rsidP="00AD7865">
      <w:pPr>
        <w:pStyle w:val="-"/>
        <w:rPr>
          <w:lang w:val="en-US"/>
        </w:rPr>
      </w:pPr>
      <w:r w:rsidRPr="00AD7865">
        <w:rPr>
          <w:lang w:val="en-US"/>
        </w:rPr>
        <w:t>These observations make the comparison non-informative.</w:t>
      </w:r>
    </w:p>
    <w:p w:rsidR="00AD7865" w:rsidRPr="00EF3ADF" w:rsidRDefault="00AD7865" w:rsidP="00AD7865">
      <w:pPr>
        <w:pStyle w:val="-"/>
        <w:rPr>
          <w:b/>
          <w:i/>
          <w:lang w:val="en-US"/>
        </w:rPr>
      </w:pPr>
      <w:r w:rsidRPr="00EF3ADF">
        <w:rPr>
          <w:b/>
          <w:i/>
          <w:lang w:val="en-US"/>
        </w:rPr>
        <w:t>Appendix F. DSHA of five large cities in Bulgaria –details of the analysis process</w:t>
      </w:r>
    </w:p>
    <w:p w:rsidR="00AD7865" w:rsidRPr="00AD7865" w:rsidRDefault="00AD7865" w:rsidP="00AD7865">
      <w:pPr>
        <w:pStyle w:val="-"/>
        <w:rPr>
          <w:lang w:val="en-US"/>
        </w:rPr>
      </w:pPr>
      <w:r w:rsidRPr="00AD7865">
        <w:rPr>
          <w:lang w:val="en-US"/>
        </w:rPr>
        <w:t>In Chapter 3 “Scenario Earthquakes for Sofia “, part 3.2 “Description of the Largest Earthquakes in the Area” is written:</w:t>
      </w:r>
    </w:p>
    <w:p w:rsidR="00AD7865" w:rsidRPr="00AD7865" w:rsidRDefault="00AD7865" w:rsidP="00AD7865">
      <w:pPr>
        <w:pStyle w:val="-"/>
        <w:rPr>
          <w:lang w:val="en-US"/>
        </w:rPr>
      </w:pPr>
      <w:r w:rsidRPr="00AD7865">
        <w:rPr>
          <w:lang w:val="en-US"/>
        </w:rPr>
        <w:t>19 December 1866 Mw=5.89</w:t>
      </w:r>
    </w:p>
    <w:p w:rsidR="00AD7865" w:rsidRPr="00AD7865" w:rsidRDefault="00AD7865" w:rsidP="00AD7865">
      <w:pPr>
        <w:pStyle w:val="-"/>
        <w:rPr>
          <w:lang w:val="en-US"/>
        </w:rPr>
      </w:pPr>
      <w:r w:rsidRPr="00AD7865">
        <w:rPr>
          <w:lang w:val="en-US"/>
        </w:rPr>
        <w:t>There is little information on this earthquake. The epicentral macroseismic intensity is estimated as Io=7 with observed intensities in the order of I=6 (Glavcheva (2014), .</w:t>
      </w:r>
    </w:p>
    <w:p w:rsidR="00AD7865" w:rsidRPr="00AD7865" w:rsidRDefault="00AD7865" w:rsidP="00AD7865">
      <w:pPr>
        <w:pStyle w:val="-"/>
        <w:rPr>
          <w:lang w:val="en-US"/>
        </w:rPr>
      </w:pPr>
      <w:r w:rsidRPr="00AD7865">
        <w:rPr>
          <w:lang w:val="en-US"/>
        </w:rPr>
        <w:t>This citation is not correct. In Glavcheva (2014), is written “…some are erroneously localized on the territory of Bulgaria (1444, 1660, 1759, 1832 and 18 Dec. 1866)”.</w:t>
      </w:r>
    </w:p>
    <w:p w:rsidR="00AD7865" w:rsidRPr="00AD7865" w:rsidRDefault="00AD7865" w:rsidP="00AD7865">
      <w:pPr>
        <w:pStyle w:val="-"/>
        <w:rPr>
          <w:lang w:val="en-US"/>
        </w:rPr>
      </w:pPr>
      <w:r w:rsidRPr="00AD7865">
        <w:rPr>
          <w:lang w:val="en-US"/>
        </w:rPr>
        <w:t>It should be clearly stated that the strongest earthquake occurred near Sofia in 19th century is the 1958 earthquake. At Sofia (at that time small town) damages were wide-spread and serious. Detailed information for impact of the 1858 earthquake on the town of Sofia is available in Watsov (1902) and Ambraseys (2009).</w:t>
      </w:r>
    </w:p>
    <w:p w:rsidR="00AD7865" w:rsidRPr="00AD7865" w:rsidRDefault="00AD7865" w:rsidP="00AD7865">
      <w:pPr>
        <w:pStyle w:val="-"/>
        <w:rPr>
          <w:lang w:val="en-US"/>
        </w:rPr>
      </w:pPr>
      <w:r w:rsidRPr="00AD7865">
        <w:rPr>
          <w:lang w:val="en-US"/>
        </w:rPr>
        <w:t xml:space="preserve">In Chapter 5 “Scenario Earthquakes for Varna” part 5.2 “Description of the Largest Earthquakes in the Area” is written: </w:t>
      </w:r>
    </w:p>
    <w:p w:rsidR="00AD7865" w:rsidRPr="00AD7865" w:rsidRDefault="00AD7865" w:rsidP="00AD7865">
      <w:pPr>
        <w:pStyle w:val="-"/>
        <w:rPr>
          <w:lang w:val="en-US"/>
        </w:rPr>
      </w:pPr>
      <w:r w:rsidRPr="00AD7865">
        <w:rPr>
          <w:lang w:val="en-US"/>
        </w:rPr>
        <w:t>31 March 1901 Black Sea Mw=7.2 earthquake</w:t>
      </w:r>
    </w:p>
    <w:p w:rsidR="00AD7865" w:rsidRPr="00AD7865" w:rsidRDefault="00AD7865" w:rsidP="00AD7865">
      <w:pPr>
        <w:pStyle w:val="-"/>
        <w:rPr>
          <w:lang w:val="en-US"/>
        </w:rPr>
      </w:pPr>
      <w:r w:rsidRPr="00AD7865">
        <w:rPr>
          <w:lang w:val="en-US"/>
        </w:rPr>
        <w:t>The earthquake is also known in Bulgaria as the Balchik earthquake.</w:t>
      </w:r>
    </w:p>
    <w:p w:rsidR="00AD7865" w:rsidRPr="00AD7865" w:rsidRDefault="00AD7865" w:rsidP="00AD7865">
      <w:pPr>
        <w:pStyle w:val="-"/>
        <w:rPr>
          <w:lang w:val="en-US"/>
        </w:rPr>
      </w:pPr>
      <w:r w:rsidRPr="00AD7865">
        <w:rPr>
          <w:lang w:val="en-US"/>
        </w:rPr>
        <w:lastRenderedPageBreak/>
        <w:t>For this reason, the 1901 earthquake is associated with the Balchik fault. In the scientific literature, the earthquake is known as “Shabla earthquake” and it is associated with the Shabla fault system in NNE-SSW direction (that is defined by numerous seismic profiling undertaken in the Black Sea) separating the Moesian Platform from deep part of the West Black Sea back-arch marginal riftogenic basin. The eastern periphery of the Moesian platform is marked by a broad transitional zone where the platform succession has been down faulted to the east during the Middle Cretaceous opening of the Western Black Sea Basin (Tari et all. 1997).</w:t>
      </w:r>
    </w:p>
    <w:p w:rsidR="00AD7865" w:rsidRPr="00AD7865" w:rsidRDefault="00AD7865" w:rsidP="00AD7865">
      <w:pPr>
        <w:pStyle w:val="-"/>
        <w:rPr>
          <w:lang w:val="en-US"/>
        </w:rPr>
      </w:pPr>
      <w:r w:rsidRPr="00AD7865">
        <w:rPr>
          <w:lang w:val="en-US"/>
        </w:rPr>
        <w:t>The legend in Figure 14 (page 332) is not informative. What is the meaning of symbols marked both by figures and letters?</w:t>
      </w:r>
    </w:p>
    <w:p w:rsidR="00DA4F37" w:rsidRPr="00EF3ADF" w:rsidRDefault="00AD7865" w:rsidP="00AD7865">
      <w:pPr>
        <w:pStyle w:val="-"/>
        <w:rPr>
          <w:b/>
          <w:lang w:val="en-US"/>
        </w:rPr>
      </w:pPr>
      <w:bookmarkStart w:id="6" w:name="_GoBack"/>
      <w:bookmarkEnd w:id="6"/>
      <w:r w:rsidRPr="00EF3ADF">
        <w:rPr>
          <w:b/>
          <w:lang w:val="en-US"/>
        </w:rPr>
        <w:t xml:space="preserve">As a conclusion, the observations are of minor importance concerning </w:t>
      </w:r>
      <w:r w:rsidR="00EF3ADF">
        <w:rPr>
          <w:b/>
          <w:lang w:val="en-US"/>
        </w:rPr>
        <w:t xml:space="preserve">the </w:t>
      </w:r>
      <w:r w:rsidRPr="00EF3ADF">
        <w:rPr>
          <w:b/>
          <w:lang w:val="en-US"/>
        </w:rPr>
        <w:t>goal of the study and the results could be used as input data needed for the probabilistic and deterministic seismic risk assessment within the frame of the project</w:t>
      </w:r>
    </w:p>
    <w:p w:rsidR="00DA4F37" w:rsidRPr="00B01D44" w:rsidRDefault="00DA4F37" w:rsidP="00927055">
      <w:pPr>
        <w:pStyle w:val="-"/>
        <w:rPr>
          <w:lang w:val="en-US"/>
        </w:rPr>
      </w:pPr>
    </w:p>
    <w:p w:rsidR="00D46151" w:rsidRPr="00D46151" w:rsidRDefault="00B01D44" w:rsidP="00D46151">
      <w:pPr>
        <w:pStyle w:val="M-1"/>
        <w:numPr>
          <w:ilvl w:val="0"/>
          <w:numId w:val="20"/>
        </w:numPr>
        <w:rPr>
          <w:lang w:val="bg-BG"/>
        </w:rPr>
      </w:pPr>
      <w:bookmarkStart w:id="7" w:name="_Toc3297874"/>
      <w:r>
        <w:t xml:space="preserve">REVIEW OF </w:t>
      </w:r>
      <w:r w:rsidR="00D46151" w:rsidRPr="00D46151">
        <w:t xml:space="preserve">Component </w:t>
      </w:r>
      <w:r w:rsidR="00D46151" w:rsidRPr="00D46151">
        <w:rPr>
          <w:lang w:val="bg"/>
        </w:rPr>
        <w:t xml:space="preserve">2 - </w:t>
      </w:r>
      <w:r w:rsidR="00D46151" w:rsidRPr="00D46151">
        <w:t>Exposure and vulnerability data</w:t>
      </w:r>
      <w:bookmarkEnd w:id="7"/>
    </w:p>
    <w:p w:rsidR="002B187B" w:rsidRDefault="002B187B" w:rsidP="00927055">
      <w:pPr>
        <w:pStyle w:val="-"/>
        <w:rPr>
          <w:lang w:val="en-US"/>
        </w:rPr>
      </w:pPr>
      <w:bookmarkStart w:id="8" w:name="_Toc391367382"/>
      <w:r w:rsidRPr="002B187B">
        <w:rPr>
          <w:lang w:val="en-US"/>
        </w:rPr>
        <w:t xml:space="preserve">Component 2 consists of two basic tasks: </w:t>
      </w:r>
    </w:p>
    <w:p w:rsidR="002B187B" w:rsidRPr="00927055" w:rsidRDefault="002B187B" w:rsidP="00927055">
      <w:pPr>
        <w:pStyle w:val="-"/>
        <w:numPr>
          <w:ilvl w:val="0"/>
          <w:numId w:val="6"/>
        </w:numPr>
        <w:spacing w:after="60"/>
        <w:ind w:left="1570" w:hanging="357"/>
      </w:pPr>
      <w:r w:rsidRPr="00927055">
        <w:t xml:space="preserve">Development of georeferenced exposure database </w:t>
      </w:r>
      <w:r w:rsidR="000E3990" w:rsidRPr="00927055">
        <w:t>for</w:t>
      </w:r>
      <w:r w:rsidRPr="00927055">
        <w:t xml:space="preserve"> large-panel buildings;</w:t>
      </w:r>
    </w:p>
    <w:p w:rsidR="00D46151" w:rsidRPr="00927055" w:rsidRDefault="002B187B" w:rsidP="00927055">
      <w:pPr>
        <w:pStyle w:val="-"/>
        <w:numPr>
          <w:ilvl w:val="0"/>
          <w:numId w:val="6"/>
        </w:numPr>
        <w:spacing w:after="60"/>
        <w:ind w:left="1570" w:hanging="357"/>
      </w:pPr>
      <w:r w:rsidRPr="00927055">
        <w:t>Development of fragility and vulnerability curves of exemplary typologies</w:t>
      </w:r>
      <w:r w:rsidR="00D46151" w:rsidRPr="00927055">
        <w:t xml:space="preserve"> to describe the probability of damage to them and associated loss in earthquakes.</w:t>
      </w:r>
    </w:p>
    <w:p w:rsidR="00BB5309" w:rsidRDefault="000E3990" w:rsidP="00927055">
      <w:pPr>
        <w:pStyle w:val="-"/>
        <w:rPr>
          <w:lang w:val="en-US"/>
        </w:rPr>
      </w:pPr>
      <w:r w:rsidRPr="000E3990">
        <w:rPr>
          <w:lang w:val="en-US"/>
        </w:rPr>
        <w:t xml:space="preserve">The exposure data </w:t>
      </w:r>
      <w:r>
        <w:rPr>
          <w:lang w:val="en-US"/>
        </w:rPr>
        <w:t xml:space="preserve">is </w:t>
      </w:r>
      <w:r w:rsidRPr="000E3990">
        <w:rPr>
          <w:lang w:val="en-US"/>
        </w:rPr>
        <w:t>built through a compilation and crosscheck of information from a variety of statistical and technical sources and satellite imagery, together with site visits in the four largest cities in Bulgaria.</w:t>
      </w:r>
    </w:p>
    <w:p w:rsidR="00BB5309" w:rsidRPr="00927055" w:rsidRDefault="0002699E" w:rsidP="00927055">
      <w:pPr>
        <w:pStyle w:val="-"/>
        <w:rPr>
          <w:lang w:val="en-US"/>
        </w:rPr>
      </w:pPr>
      <w:r w:rsidRPr="0002699E">
        <w:rPr>
          <w:lang w:val="en-US"/>
        </w:rPr>
        <w:t>The second task is to develop fragility functions for the representative structural typologies and to build corresponding vulnerability functions through damage-loss correlations.</w:t>
      </w:r>
    </w:p>
    <w:p w:rsidR="00F86B23" w:rsidRPr="00927055" w:rsidRDefault="00F86B23" w:rsidP="00927055">
      <w:pPr>
        <w:pStyle w:val="-"/>
        <w:rPr>
          <w:lang w:val="en-US"/>
        </w:rPr>
      </w:pPr>
      <w:r>
        <w:rPr>
          <w:lang w:val="en-US"/>
        </w:rPr>
        <w:t xml:space="preserve">The </w:t>
      </w:r>
      <w:r w:rsidR="00B373DB">
        <w:rPr>
          <w:lang w:val="en-US"/>
        </w:rPr>
        <w:t>“R</w:t>
      </w:r>
      <w:r>
        <w:rPr>
          <w:lang w:val="en-US"/>
        </w:rPr>
        <w:t>eport for component 2</w:t>
      </w:r>
      <w:r w:rsidR="00B373DB">
        <w:rPr>
          <w:lang w:val="en-US"/>
        </w:rPr>
        <w:t>”</w:t>
      </w:r>
      <w:r w:rsidRPr="00F86B23">
        <w:rPr>
          <w:lang w:val="en-US"/>
        </w:rPr>
        <w:t xml:space="preserve"> consists of a main </w:t>
      </w:r>
      <w:r>
        <w:rPr>
          <w:lang w:val="en-US"/>
        </w:rPr>
        <w:t>text</w:t>
      </w:r>
      <w:r w:rsidRPr="00F86B23">
        <w:rPr>
          <w:lang w:val="en-US"/>
        </w:rPr>
        <w:t>, where the methodology and the assumptions are summari</w:t>
      </w:r>
      <w:r>
        <w:rPr>
          <w:lang w:val="en-US"/>
        </w:rPr>
        <w:t>z</w:t>
      </w:r>
      <w:r w:rsidRPr="00F86B23">
        <w:rPr>
          <w:lang w:val="en-US"/>
        </w:rPr>
        <w:t xml:space="preserve">ed, and </w:t>
      </w:r>
      <w:r>
        <w:rPr>
          <w:lang w:val="en-US"/>
        </w:rPr>
        <w:t>8</w:t>
      </w:r>
      <w:r w:rsidRPr="00F86B23">
        <w:rPr>
          <w:lang w:val="en-US"/>
        </w:rPr>
        <w:t xml:space="preserve"> </w:t>
      </w:r>
      <w:r>
        <w:rPr>
          <w:lang w:val="en-US"/>
        </w:rPr>
        <w:t>attachments</w:t>
      </w:r>
      <w:r w:rsidRPr="00F86B23">
        <w:rPr>
          <w:lang w:val="en-US"/>
        </w:rPr>
        <w:t xml:space="preserve"> with all the results in terms of maps, tables and graphics</w:t>
      </w:r>
      <w:r>
        <w:rPr>
          <w:lang w:val="en-US"/>
        </w:rPr>
        <w:t xml:space="preserve">. In </w:t>
      </w:r>
      <w:r w:rsidR="00EF3ADF">
        <w:rPr>
          <w:lang w:val="en-US"/>
        </w:rPr>
        <w:t>fact,</w:t>
      </w:r>
      <w:r>
        <w:rPr>
          <w:lang w:val="en-US"/>
        </w:rPr>
        <w:t xml:space="preserve"> attachments “D” and “E” are independent </w:t>
      </w:r>
      <w:r w:rsidR="00B373DB">
        <w:rPr>
          <w:lang w:val="en-US"/>
        </w:rPr>
        <w:t xml:space="preserve">technical </w:t>
      </w:r>
      <w:r>
        <w:rPr>
          <w:lang w:val="en-US"/>
        </w:rPr>
        <w:t>reports.</w:t>
      </w:r>
    </w:p>
    <w:p w:rsidR="00BB5309" w:rsidRDefault="00D52C93" w:rsidP="003B652D">
      <w:pPr>
        <w:pStyle w:val="M-2"/>
      </w:pPr>
      <w:bookmarkStart w:id="9" w:name="_Toc3297875"/>
      <w:r>
        <w:t>3.1. G</w:t>
      </w:r>
      <w:r w:rsidRPr="00D52C93">
        <w:t>eoreferenced exposure database for large-panel buildings</w:t>
      </w:r>
      <w:bookmarkEnd w:id="9"/>
    </w:p>
    <w:p w:rsidR="00BB5309" w:rsidRDefault="0013446F" w:rsidP="00927055">
      <w:pPr>
        <w:pStyle w:val="-"/>
        <w:rPr>
          <w:lang w:val="en-US"/>
        </w:rPr>
      </w:pPr>
      <w:r w:rsidRPr="0013446F">
        <w:rPr>
          <w:lang w:val="en-US"/>
        </w:rPr>
        <w:t xml:space="preserve">Details on the development of the exposure data are presented in </w:t>
      </w:r>
      <w:r w:rsidR="006B29AF" w:rsidRPr="006B29AF">
        <w:rPr>
          <w:lang w:val="en-US"/>
        </w:rPr>
        <w:t xml:space="preserve">Appendix </w:t>
      </w:r>
      <w:r w:rsidR="00AC7031">
        <w:rPr>
          <w:lang w:val="en-US"/>
        </w:rPr>
        <w:t xml:space="preserve">D </w:t>
      </w:r>
      <w:r>
        <w:rPr>
          <w:lang w:val="en-US"/>
        </w:rPr>
        <w:t>“</w:t>
      </w:r>
      <w:r w:rsidR="00AC7031">
        <w:rPr>
          <w:lang w:val="en-US"/>
        </w:rPr>
        <w:t>Exposure database for Bulgaria</w:t>
      </w:r>
      <w:r>
        <w:rPr>
          <w:lang w:val="en-US"/>
        </w:rPr>
        <w:t xml:space="preserve">”. </w:t>
      </w:r>
    </w:p>
    <w:p w:rsidR="005C0782" w:rsidRPr="00927055" w:rsidRDefault="00D749D1" w:rsidP="00927055">
      <w:pPr>
        <w:pStyle w:val="-"/>
        <w:rPr>
          <w:lang w:val="en-US"/>
        </w:rPr>
      </w:pPr>
      <w:r w:rsidRPr="00927055">
        <w:rPr>
          <w:lang w:val="en-US"/>
        </w:rPr>
        <w:t xml:space="preserve">The division of "Building, Structure, Section and Unit" is very appropriate in order to </w:t>
      </w:r>
      <w:r w:rsidR="00E25899" w:rsidRPr="00927055">
        <w:rPr>
          <w:lang w:val="en-US"/>
        </w:rPr>
        <w:t>synchronize</w:t>
      </w:r>
      <w:r w:rsidRPr="00927055">
        <w:rPr>
          <w:lang w:val="en-US"/>
        </w:rPr>
        <w:t xml:space="preserve"> the different sources of information. Аll possible sources of information are considered – </w:t>
      </w:r>
      <w:r>
        <w:rPr>
          <w:lang w:val="en-US"/>
        </w:rPr>
        <w:t xml:space="preserve">technical audits, census data, maps and Cadastre plans, visual inspections and satellite images. </w:t>
      </w:r>
      <w:r w:rsidR="00AA7E3A" w:rsidRPr="00927055">
        <w:rPr>
          <w:lang w:val="en-US"/>
        </w:rPr>
        <w:t>The more precised and detailed is the input data for the building stock, the</w:t>
      </w:r>
      <w:r w:rsidR="002A3975">
        <w:rPr>
          <w:lang w:val="en-US"/>
        </w:rPr>
        <w:t xml:space="preserve"> </w:t>
      </w:r>
      <w:r w:rsidR="00AA7E3A" w:rsidRPr="00927055">
        <w:rPr>
          <w:lang w:val="en-US"/>
        </w:rPr>
        <w:t xml:space="preserve">more accurate will be the assessment of the seismic risk. </w:t>
      </w:r>
    </w:p>
    <w:p w:rsidR="006B29AF" w:rsidRPr="006B29AF" w:rsidRDefault="005E2797" w:rsidP="00927055">
      <w:pPr>
        <w:pStyle w:val="-"/>
        <w:rPr>
          <w:lang w:val="en-US"/>
        </w:rPr>
      </w:pPr>
      <w:r w:rsidRPr="005E2797">
        <w:rPr>
          <w:lang w:val="en-US"/>
        </w:rPr>
        <w:t xml:space="preserve">The classification </w:t>
      </w:r>
      <w:r w:rsidR="006B29AF">
        <w:rPr>
          <w:lang w:val="en-US"/>
        </w:rPr>
        <w:t>is</w:t>
      </w:r>
      <w:r w:rsidRPr="005E2797">
        <w:rPr>
          <w:lang w:val="en-US"/>
        </w:rPr>
        <w:t xml:space="preserve"> done in two levels. The first level consists of nine architypes based on criteria like building layout, ratio of the length of the walls (load-bearing and walls with openings for doors and windows) in the two directions, seismic or non-seismic original</w:t>
      </w:r>
      <w:r>
        <w:rPr>
          <w:lang w:val="en-US"/>
        </w:rPr>
        <w:t xml:space="preserve"> </w:t>
      </w:r>
      <w:r w:rsidR="006B29AF" w:rsidRPr="006B29AF">
        <w:rPr>
          <w:lang w:val="en-US"/>
        </w:rPr>
        <w:t xml:space="preserve">design, plan irregularity, number and area of the units per section, and, indirectly, material types and period of construction. On the second level, these nine architypes branched out in 100 structural typologies according to the number of storeys and the number of sections. Each of this structural typology is associated with its own fragility curve. </w:t>
      </w:r>
    </w:p>
    <w:p w:rsidR="008E7CF3" w:rsidRPr="00927055" w:rsidRDefault="00AD7865" w:rsidP="00927055">
      <w:pPr>
        <w:pStyle w:val="-"/>
        <w:rPr>
          <w:lang w:val="en-US"/>
        </w:rPr>
      </w:pPr>
      <w:r>
        <w:rPr>
          <w:lang w:val="en-US"/>
        </w:rPr>
        <w:t>Generally,</w:t>
      </w:r>
      <w:r w:rsidR="001A20E6">
        <w:rPr>
          <w:lang w:val="en-US"/>
        </w:rPr>
        <w:t xml:space="preserve"> the classification of the building stock is done properly, having in mind the vulnerability assessment. </w:t>
      </w:r>
    </w:p>
    <w:p w:rsidR="00AB4BFD" w:rsidRPr="00927055" w:rsidRDefault="001A20E6" w:rsidP="00927055">
      <w:pPr>
        <w:pStyle w:val="-"/>
        <w:rPr>
          <w:lang w:val="en-US"/>
        </w:rPr>
      </w:pPr>
      <w:r>
        <w:rPr>
          <w:lang w:val="en-US"/>
        </w:rPr>
        <w:t xml:space="preserve"> </w:t>
      </w:r>
      <w:r w:rsidR="008E7CF3" w:rsidRPr="00927055">
        <w:rPr>
          <w:lang w:val="en-US"/>
        </w:rPr>
        <w:t xml:space="preserve">A very good impression is made by the in-depth analysis of the input exposure data (collected from different sources), including manual counting. The data are not only reprinted but carefully </w:t>
      </w:r>
      <w:r w:rsidR="00C55FA7" w:rsidRPr="00927055">
        <w:rPr>
          <w:lang w:val="en-US"/>
        </w:rPr>
        <w:t>examin</w:t>
      </w:r>
      <w:r w:rsidR="008E7CF3" w:rsidRPr="00927055">
        <w:rPr>
          <w:lang w:val="en-US"/>
        </w:rPr>
        <w:t xml:space="preserve">ed and analyzed in view of their </w:t>
      </w:r>
      <w:r w:rsidR="008E7CF3">
        <w:rPr>
          <w:lang w:val="en-US"/>
        </w:rPr>
        <w:t>reab</w:t>
      </w:r>
      <w:r w:rsidR="008E7CF3" w:rsidRPr="00927055">
        <w:rPr>
          <w:lang w:val="en-US"/>
        </w:rPr>
        <w:t>ility and relevance.</w:t>
      </w:r>
    </w:p>
    <w:p w:rsidR="008638DF" w:rsidRPr="00927055" w:rsidRDefault="008638DF" w:rsidP="00927055">
      <w:pPr>
        <w:pStyle w:val="-"/>
        <w:rPr>
          <w:lang w:val="en-US"/>
        </w:rPr>
      </w:pPr>
      <w:r w:rsidRPr="008638DF">
        <w:rPr>
          <w:lang w:val="en-US"/>
        </w:rPr>
        <w:lastRenderedPageBreak/>
        <w:t xml:space="preserve">Special attention is paid to the cities Sofia and Plovdiv, for which the exposure data </w:t>
      </w:r>
      <w:r>
        <w:rPr>
          <w:lang w:val="en-US"/>
        </w:rPr>
        <w:t>i</w:t>
      </w:r>
      <w:r w:rsidRPr="008638DF">
        <w:rPr>
          <w:lang w:val="en-US"/>
        </w:rPr>
        <w:t>s built with resolution at a neighbourhood-level, which is a substantial improvement over the available datasets on the building stock in Bulgaria.</w:t>
      </w:r>
      <w:r w:rsidR="00CD5F3F">
        <w:rPr>
          <w:lang w:val="en-US"/>
        </w:rPr>
        <w:t xml:space="preserve"> </w:t>
      </w:r>
      <w:r w:rsidR="00CD5F3F" w:rsidRPr="00CD5F3F">
        <w:rPr>
          <w:lang w:val="en-US"/>
        </w:rPr>
        <w:t>With more time and resources available, the exposure data base could be further improved and extended to the entire building stock in the country.</w:t>
      </w:r>
    </w:p>
    <w:p w:rsidR="000E39FF" w:rsidRDefault="000E39FF" w:rsidP="00927055">
      <w:pPr>
        <w:pStyle w:val="-"/>
        <w:rPr>
          <w:lang w:val="en-US"/>
        </w:rPr>
      </w:pPr>
      <w:r w:rsidRPr="000E39FF">
        <w:rPr>
          <w:lang w:val="en-US"/>
        </w:rPr>
        <w:t>The database contain</w:t>
      </w:r>
      <w:r>
        <w:rPr>
          <w:lang w:val="en-US"/>
        </w:rPr>
        <w:t>s</w:t>
      </w:r>
      <w:r w:rsidRPr="000E39FF">
        <w:rPr>
          <w:lang w:val="en-US"/>
        </w:rPr>
        <w:t xml:space="preserve"> information </w:t>
      </w:r>
      <w:r>
        <w:rPr>
          <w:lang w:val="en-US"/>
        </w:rPr>
        <w:t>about:</w:t>
      </w:r>
    </w:p>
    <w:p w:rsidR="000E39FF" w:rsidRPr="000E39FF" w:rsidRDefault="000E39FF" w:rsidP="00927055">
      <w:pPr>
        <w:pStyle w:val="-"/>
        <w:numPr>
          <w:ilvl w:val="0"/>
          <w:numId w:val="24"/>
        </w:numPr>
        <w:spacing w:after="60"/>
        <w:ind w:left="924" w:hanging="357"/>
        <w:rPr>
          <w:lang w:val="en"/>
        </w:rPr>
      </w:pPr>
      <w:r>
        <w:rPr>
          <w:lang w:val="en-US"/>
        </w:rPr>
        <w:t>T</w:t>
      </w:r>
      <w:r w:rsidRPr="000E39FF">
        <w:rPr>
          <w:lang w:val="en-US"/>
        </w:rPr>
        <w:t>he type and distribution of the large-panel buildings in Bulgaria</w:t>
      </w:r>
      <w:r>
        <w:rPr>
          <w:lang w:val="en-US"/>
        </w:rPr>
        <w:t>;</w:t>
      </w:r>
    </w:p>
    <w:p w:rsidR="000E39FF" w:rsidRPr="000E39FF" w:rsidRDefault="000E39FF" w:rsidP="00927055">
      <w:pPr>
        <w:pStyle w:val="-"/>
        <w:numPr>
          <w:ilvl w:val="0"/>
          <w:numId w:val="24"/>
        </w:numPr>
        <w:spacing w:after="60"/>
        <w:ind w:left="924" w:hanging="357"/>
        <w:rPr>
          <w:lang w:val="en"/>
        </w:rPr>
      </w:pPr>
      <w:r>
        <w:rPr>
          <w:lang w:val="en-US"/>
        </w:rPr>
        <w:t>T</w:t>
      </w:r>
      <w:r w:rsidRPr="000E39FF">
        <w:rPr>
          <w:lang w:val="en-US"/>
        </w:rPr>
        <w:t>he replacement value of the structures, their current condition that may affect their response in earthquakes</w:t>
      </w:r>
      <w:r>
        <w:rPr>
          <w:lang w:val="en-US"/>
        </w:rPr>
        <w:t>;</w:t>
      </w:r>
    </w:p>
    <w:p w:rsidR="000E39FF" w:rsidRDefault="000E39FF" w:rsidP="00927055">
      <w:pPr>
        <w:pStyle w:val="-"/>
        <w:numPr>
          <w:ilvl w:val="0"/>
          <w:numId w:val="24"/>
        </w:numPr>
        <w:spacing w:after="60"/>
        <w:ind w:left="924" w:hanging="357"/>
        <w:rPr>
          <w:lang w:val="en"/>
        </w:rPr>
      </w:pPr>
      <w:r>
        <w:rPr>
          <w:lang w:val="en-US"/>
        </w:rPr>
        <w:t>T</w:t>
      </w:r>
      <w:r w:rsidRPr="000E39FF">
        <w:rPr>
          <w:lang w:val="en-US"/>
        </w:rPr>
        <w:t>he number of people and households living in them and any relevant socio-economic aspects.</w:t>
      </w:r>
    </w:p>
    <w:p w:rsidR="00C55FA7" w:rsidRPr="00927055" w:rsidRDefault="00C55FA7" w:rsidP="00927055">
      <w:pPr>
        <w:pStyle w:val="-"/>
        <w:rPr>
          <w:lang w:val="en-US"/>
        </w:rPr>
      </w:pPr>
      <w:r w:rsidRPr="00927055">
        <w:rPr>
          <w:lang w:val="en-US"/>
        </w:rPr>
        <w:t xml:space="preserve">In conclusion, the exposure data </w:t>
      </w:r>
      <w:r w:rsidR="007E4ED6">
        <w:rPr>
          <w:lang w:val="en-US"/>
        </w:rPr>
        <w:t>is</w:t>
      </w:r>
      <w:r w:rsidRPr="00927055">
        <w:rPr>
          <w:lang w:val="en-US"/>
        </w:rPr>
        <w:t xml:space="preserve"> professionally obtained, with a deep understanding of the features of the panel buildings, resulting in a reliable </w:t>
      </w:r>
      <w:r w:rsidR="007E4ED6" w:rsidRPr="00927055">
        <w:rPr>
          <w:lang w:val="en-US"/>
        </w:rPr>
        <w:t xml:space="preserve">exposure </w:t>
      </w:r>
      <w:r w:rsidRPr="00927055">
        <w:rPr>
          <w:lang w:val="en-US"/>
        </w:rPr>
        <w:t>database for the further determination of vulnerability and seismic risk.</w:t>
      </w:r>
    </w:p>
    <w:p w:rsidR="00F86B23" w:rsidRPr="00F86B23" w:rsidRDefault="00F86B23" w:rsidP="00927055">
      <w:pPr>
        <w:pStyle w:val="-"/>
        <w:rPr>
          <w:lang w:val="en-US"/>
        </w:rPr>
      </w:pPr>
      <w:r w:rsidRPr="00F86B23">
        <w:rPr>
          <w:lang w:val="en-US"/>
        </w:rPr>
        <w:t>The results are provided in terms of maps, tables, charts and GIS-compatible datasets and, as part of the Open Data commitment, they will be made fully open and available for local scientists and engineers and the public.</w:t>
      </w:r>
    </w:p>
    <w:p w:rsidR="005C0782" w:rsidRDefault="005C0782" w:rsidP="003B652D">
      <w:pPr>
        <w:pStyle w:val="M-2"/>
      </w:pPr>
      <w:bookmarkStart w:id="10" w:name="_Toc3297876"/>
      <w:r>
        <w:t>3.2. F</w:t>
      </w:r>
      <w:r w:rsidRPr="002B187B">
        <w:t>ragility and vulnerability curves of exemplary typologies</w:t>
      </w:r>
      <w:bookmarkEnd w:id="10"/>
    </w:p>
    <w:p w:rsidR="00F22A59" w:rsidRDefault="00F22A59" w:rsidP="00927055">
      <w:pPr>
        <w:pStyle w:val="-"/>
        <w:rPr>
          <w:lang w:val="en-US"/>
        </w:rPr>
      </w:pPr>
      <w:r w:rsidRPr="0013446F">
        <w:rPr>
          <w:lang w:val="en-US"/>
        </w:rPr>
        <w:t xml:space="preserve">Details on the development of the </w:t>
      </w:r>
      <w:r>
        <w:rPr>
          <w:lang w:val="en-US"/>
        </w:rPr>
        <w:t>fragility and vulnerability functions</w:t>
      </w:r>
      <w:r w:rsidRPr="0013446F">
        <w:rPr>
          <w:lang w:val="en-US"/>
        </w:rPr>
        <w:t xml:space="preserve"> are presented in </w:t>
      </w:r>
      <w:r w:rsidRPr="006B29AF">
        <w:rPr>
          <w:lang w:val="en-US"/>
        </w:rPr>
        <w:t xml:space="preserve">Appendix </w:t>
      </w:r>
      <w:r>
        <w:rPr>
          <w:lang w:val="en-US"/>
        </w:rPr>
        <w:t xml:space="preserve">E “Analytical fragility and vulnerability functions”. </w:t>
      </w:r>
    </w:p>
    <w:p w:rsidR="006C2C77" w:rsidRPr="006C2C77" w:rsidRDefault="006C2C77" w:rsidP="00927055">
      <w:pPr>
        <w:pStyle w:val="-"/>
        <w:rPr>
          <w:lang w:val="en-US"/>
        </w:rPr>
      </w:pPr>
      <w:r w:rsidRPr="006C2C77">
        <w:rPr>
          <w:lang w:val="en-US"/>
        </w:rPr>
        <w:t xml:space="preserve">The damage states used in the project are based on principle to the homogenised reinforced concrete (HRC) scale. The description of the damage associated with each damage state </w:t>
      </w:r>
      <w:r>
        <w:rPr>
          <w:lang w:val="en-US"/>
        </w:rPr>
        <w:t xml:space="preserve">is </w:t>
      </w:r>
      <w:r w:rsidRPr="006C2C77">
        <w:rPr>
          <w:lang w:val="en-US"/>
        </w:rPr>
        <w:t>modified to consider the particularities of panel buildings</w:t>
      </w:r>
      <w:r>
        <w:rPr>
          <w:lang w:val="en-US"/>
        </w:rPr>
        <w:t xml:space="preserve"> - </w:t>
      </w:r>
      <w:r w:rsidRPr="006C2C77">
        <w:rPr>
          <w:lang w:val="en-US"/>
        </w:rPr>
        <w:t>discontinuity of the load bearing system and discrete connection of the panels through dowels. The description of the expected performance in terms of habitability is based on ASCE 41-13 (ASCE/SEI 41-13, 2014) and the risk for injuries/fatalities at each damage state is based on FEMA P-58-1 (FEMA P-58-1 ATC, 2012).</w:t>
      </w:r>
      <w:r>
        <w:rPr>
          <w:lang w:val="en-US"/>
        </w:rPr>
        <w:t xml:space="preserve"> This is reasonable approach because the existing damage scales ussualy do not cover </w:t>
      </w:r>
      <w:r w:rsidR="002A3975">
        <w:rPr>
          <w:lang w:val="en-US"/>
        </w:rPr>
        <w:t xml:space="preserve">the </w:t>
      </w:r>
      <w:r>
        <w:rPr>
          <w:lang w:val="en-US"/>
        </w:rPr>
        <w:t>panel buildings. So it is inevitable to do some modifications.</w:t>
      </w:r>
    </w:p>
    <w:p w:rsidR="001B1EB2" w:rsidRPr="001B1EB2" w:rsidRDefault="001B1EB2" w:rsidP="00927055">
      <w:pPr>
        <w:pStyle w:val="-"/>
        <w:rPr>
          <w:lang w:val="en-US"/>
        </w:rPr>
      </w:pPr>
      <w:r>
        <w:rPr>
          <w:lang w:val="en-US"/>
        </w:rPr>
        <w:t xml:space="preserve">The main characteristic of the large </w:t>
      </w:r>
      <w:r w:rsidRPr="001B1EB2">
        <w:rPr>
          <w:lang w:val="en-US"/>
        </w:rPr>
        <w:t>panel buildings</w:t>
      </w:r>
      <w:r>
        <w:rPr>
          <w:lang w:val="en-US"/>
        </w:rPr>
        <w:t xml:space="preserve"> is </w:t>
      </w:r>
      <w:r w:rsidRPr="001B1EB2">
        <w:rPr>
          <w:lang w:val="en-US"/>
        </w:rPr>
        <w:t>the discontinuity of their structural system where all structural elements are connected via "point" connections in the form of grouted in-situ dowels.</w:t>
      </w:r>
      <w:r>
        <w:rPr>
          <w:lang w:val="en-US"/>
        </w:rPr>
        <w:t xml:space="preserve"> That is why </w:t>
      </w:r>
      <w:r w:rsidRPr="001B1EB2">
        <w:rPr>
          <w:lang w:val="en-US"/>
        </w:rPr>
        <w:t>the damage of the dowels and the panels need to be assessed separately.</w:t>
      </w:r>
    </w:p>
    <w:p w:rsidR="0058781E" w:rsidRPr="0058781E" w:rsidRDefault="0058781E" w:rsidP="00927055">
      <w:pPr>
        <w:pStyle w:val="-"/>
        <w:rPr>
          <w:lang w:val="en-US"/>
        </w:rPr>
      </w:pPr>
      <w:r w:rsidRPr="0058781E">
        <w:rPr>
          <w:lang w:val="en-US"/>
        </w:rPr>
        <w:t xml:space="preserve">Storey drifts are used as main </w:t>
      </w:r>
      <w:r w:rsidR="00494EC8">
        <w:rPr>
          <w:lang w:val="en-US"/>
        </w:rPr>
        <w:t>earthquake demand parameters (</w:t>
      </w:r>
      <w:r w:rsidRPr="0058781E">
        <w:rPr>
          <w:lang w:val="en-US"/>
        </w:rPr>
        <w:t>EDPs</w:t>
      </w:r>
      <w:r w:rsidR="008C0C75">
        <w:rPr>
          <w:lang w:val="en-US"/>
        </w:rPr>
        <w:t>)</w:t>
      </w:r>
      <w:r w:rsidRPr="0058781E">
        <w:rPr>
          <w:lang w:val="en-US"/>
        </w:rPr>
        <w:t xml:space="preserve"> to monitor/control the exceedance of a Limit State (LS), i.e. the transition between damage states (DS). The storey drift in a large panel building is a combination of the relative displacement of the dowels and the panels. The two drifts </w:t>
      </w:r>
      <w:r>
        <w:rPr>
          <w:lang w:val="en-US"/>
        </w:rPr>
        <w:t>are</w:t>
      </w:r>
      <w:r w:rsidRPr="0058781E">
        <w:rPr>
          <w:lang w:val="en-US"/>
        </w:rPr>
        <w:t xml:space="preserve"> monitored separately, and</w:t>
      </w:r>
      <w:r>
        <w:rPr>
          <w:lang w:val="en-US"/>
        </w:rPr>
        <w:t xml:space="preserve"> </w:t>
      </w:r>
      <w:r w:rsidRPr="0058781E">
        <w:rPr>
          <w:lang w:val="en-US"/>
        </w:rPr>
        <w:t xml:space="preserve">the maximum equivalent storey drift of each component </w:t>
      </w:r>
      <w:r>
        <w:rPr>
          <w:lang w:val="en-US"/>
        </w:rPr>
        <w:t>is</w:t>
      </w:r>
      <w:r w:rsidRPr="0058781E">
        <w:rPr>
          <w:lang w:val="en-US"/>
        </w:rPr>
        <w:t xml:space="preserve"> used to trigger the exceedance of a limit state.</w:t>
      </w:r>
    </w:p>
    <w:p w:rsidR="0011608D" w:rsidRPr="0011608D" w:rsidRDefault="003F31DA" w:rsidP="00927055">
      <w:pPr>
        <w:pStyle w:val="-"/>
        <w:rPr>
          <w:lang w:val="en-US"/>
        </w:rPr>
      </w:pPr>
      <w:r w:rsidRPr="003F31DA">
        <w:rPr>
          <w:lang w:val="en-US"/>
        </w:rPr>
        <w:t xml:space="preserve">The damage-to-drift relation for the dowels is defined based on the </w:t>
      </w:r>
      <w:r w:rsidR="0011608D">
        <w:rPr>
          <w:lang w:val="en-US"/>
        </w:rPr>
        <w:t xml:space="preserve">experimental </w:t>
      </w:r>
      <w:r w:rsidRPr="003F31DA">
        <w:rPr>
          <w:lang w:val="en-US"/>
        </w:rPr>
        <w:t>data from tested scaled specimens</w:t>
      </w:r>
      <w:r>
        <w:rPr>
          <w:lang w:val="en-US"/>
        </w:rPr>
        <w:t xml:space="preserve"> in UACEG </w:t>
      </w:r>
      <w:r w:rsidR="0011608D">
        <w:rPr>
          <w:lang w:val="en-US"/>
        </w:rPr>
        <w:t>–</w:t>
      </w:r>
      <w:r>
        <w:rPr>
          <w:lang w:val="en-US"/>
        </w:rPr>
        <w:t xml:space="preserve"> Sofia</w:t>
      </w:r>
      <w:r w:rsidR="00EF0E73">
        <w:rPr>
          <w:lang w:val="en-US"/>
        </w:rPr>
        <w:t xml:space="preserve"> </w:t>
      </w:r>
      <w:r w:rsidR="00EF0E73" w:rsidRPr="00EF0E73">
        <w:rPr>
          <w:lang w:val="en-US"/>
        </w:rPr>
        <w:t xml:space="preserve">(Orlinov R., </w:t>
      </w:r>
      <w:r w:rsidR="00EF0E73" w:rsidRPr="00927055">
        <w:rPr>
          <w:lang w:val="en-US"/>
        </w:rPr>
        <w:t>2015).</w:t>
      </w:r>
      <w:r w:rsidR="0011608D">
        <w:rPr>
          <w:lang w:val="en-US"/>
        </w:rPr>
        <w:t xml:space="preserve"> </w:t>
      </w:r>
      <w:r w:rsidR="0011608D" w:rsidRPr="0011608D">
        <w:rPr>
          <w:lang w:val="en-US"/>
        </w:rPr>
        <w:t xml:space="preserve">The damage-to-drift relation for the </w:t>
      </w:r>
      <w:r w:rsidR="0011608D">
        <w:rPr>
          <w:lang w:val="en-US"/>
        </w:rPr>
        <w:t>panel</w:t>
      </w:r>
      <w:r w:rsidR="0011608D" w:rsidRPr="0011608D">
        <w:rPr>
          <w:lang w:val="en-US"/>
        </w:rPr>
        <w:t xml:space="preserve">s is defined based </w:t>
      </w:r>
      <w:r w:rsidR="0058781E" w:rsidRPr="0058781E">
        <w:rPr>
          <w:lang w:val="en-US"/>
        </w:rPr>
        <w:t xml:space="preserve">on FEMA P-58-1/BD </w:t>
      </w:r>
      <w:r w:rsidR="0058781E" w:rsidRPr="00927055">
        <w:rPr>
          <w:lang w:val="en-US"/>
        </w:rPr>
        <w:t>-3.8.8 Damage States and Fragility Curves for Low Aspect Ratio Reinforced Concrete Walls</w:t>
      </w:r>
      <w:r w:rsidR="0058781E" w:rsidRPr="0058781E">
        <w:rPr>
          <w:lang w:val="en-US"/>
        </w:rPr>
        <w:t xml:space="preserve"> (FEMA P-58-1 ATC, </w:t>
      </w:r>
      <w:r w:rsidR="0058781E" w:rsidRPr="00927055">
        <w:rPr>
          <w:lang w:val="en-US"/>
        </w:rPr>
        <w:t>2012).</w:t>
      </w:r>
      <w:r w:rsidR="00A571A5">
        <w:rPr>
          <w:lang w:val="en-US"/>
        </w:rPr>
        <w:t xml:space="preserve"> </w:t>
      </w:r>
    </w:p>
    <w:p w:rsidR="005E6DAC" w:rsidRDefault="008E76A0" w:rsidP="00927055">
      <w:pPr>
        <w:pStyle w:val="-"/>
        <w:rPr>
          <w:lang w:val="en-US"/>
        </w:rPr>
      </w:pPr>
      <w:r>
        <w:rPr>
          <w:lang w:val="en-US"/>
        </w:rPr>
        <w:t xml:space="preserve"> </w:t>
      </w:r>
      <w:r w:rsidR="0011608D" w:rsidRPr="0011608D">
        <w:rPr>
          <w:lang w:val="en-US"/>
        </w:rPr>
        <w:t xml:space="preserve">Drifts resulting from the relative displacement of the dowels and the panels are </w:t>
      </w:r>
      <w:r w:rsidR="0011608D">
        <w:rPr>
          <w:lang w:val="en-US"/>
        </w:rPr>
        <w:t>calculat</w:t>
      </w:r>
      <w:r w:rsidR="0011608D" w:rsidRPr="0011608D">
        <w:rPr>
          <w:lang w:val="en-US"/>
        </w:rPr>
        <w:t>ed separately and used to assess the total damage at each storey via damage indexes (DI).</w:t>
      </w:r>
      <w:r w:rsidR="00D042C6">
        <w:rPr>
          <w:lang w:val="en-US"/>
        </w:rPr>
        <w:t xml:space="preserve"> This approach is reasonable and allows </w:t>
      </w:r>
      <w:r w:rsidR="005E6DAC">
        <w:rPr>
          <w:lang w:val="en-US"/>
        </w:rPr>
        <w:t>taking</w:t>
      </w:r>
      <w:r w:rsidR="00D042C6">
        <w:rPr>
          <w:lang w:val="en-US"/>
        </w:rPr>
        <w:t xml:space="preserve"> into account the response of </w:t>
      </w:r>
      <w:r w:rsidR="00D042C6" w:rsidRPr="00D042C6">
        <w:rPr>
          <w:lang w:val="en-US"/>
        </w:rPr>
        <w:t>dowels and panels</w:t>
      </w:r>
      <w:r w:rsidR="00D042C6">
        <w:rPr>
          <w:lang w:val="en-US"/>
        </w:rPr>
        <w:t>.</w:t>
      </w:r>
      <w:r w:rsidR="005E6DAC">
        <w:rPr>
          <w:lang w:val="en-US"/>
        </w:rPr>
        <w:t xml:space="preserve"> </w:t>
      </w:r>
      <w:r w:rsidR="00FC5118" w:rsidRPr="005E6DAC">
        <w:rPr>
          <w:lang w:val="en-US"/>
        </w:rPr>
        <w:t>Finally,</w:t>
      </w:r>
      <w:r w:rsidR="005E6DAC" w:rsidRPr="005E6DAC">
        <w:rPr>
          <w:lang w:val="en-US"/>
        </w:rPr>
        <w:t xml:space="preserve"> there is a table describing the damage state to damage index relation for the whole building with corresponding description </w:t>
      </w:r>
      <w:r w:rsidR="005E6DAC">
        <w:rPr>
          <w:lang w:val="en-US"/>
        </w:rPr>
        <w:t xml:space="preserve">of </w:t>
      </w:r>
      <w:r w:rsidR="005E6DAC" w:rsidRPr="005E6DAC">
        <w:rPr>
          <w:lang w:val="en-US"/>
        </w:rPr>
        <w:t>damage</w:t>
      </w:r>
      <w:r w:rsidR="005E6DAC">
        <w:rPr>
          <w:lang w:val="en-US"/>
        </w:rPr>
        <w:t>s</w:t>
      </w:r>
      <w:r w:rsidR="005E6DAC" w:rsidRPr="005E6DAC">
        <w:rPr>
          <w:lang w:val="en-US"/>
        </w:rPr>
        <w:t xml:space="preserve"> and occupancy / reparability. </w:t>
      </w:r>
    </w:p>
    <w:p w:rsidR="0006479C" w:rsidRPr="005E6DAC" w:rsidRDefault="0068646E" w:rsidP="00927055">
      <w:pPr>
        <w:pStyle w:val="-"/>
        <w:rPr>
          <w:lang w:val="en-US"/>
        </w:rPr>
      </w:pPr>
      <w:r w:rsidRPr="0068646E">
        <w:rPr>
          <w:lang w:val="en-US"/>
        </w:rPr>
        <w:t>The nonlinear models consider explicitly the finite connectivity between panels through detailed models of the dowels.</w:t>
      </w:r>
      <w:r>
        <w:rPr>
          <w:lang w:val="en-US"/>
        </w:rPr>
        <w:t xml:space="preserve"> </w:t>
      </w:r>
      <w:r w:rsidR="00473AE3" w:rsidRPr="00927055">
        <w:rPr>
          <w:lang w:val="en-US"/>
        </w:rPr>
        <w:t xml:space="preserve">The software used LS-DYNA allows for the non-linear behavior of materials (concrete and steel) and friction between the panels. The developed three-dimensional numerical models are fully adequate to the real </w:t>
      </w:r>
      <w:r w:rsidR="00473AE3">
        <w:rPr>
          <w:lang w:val="en-US"/>
        </w:rPr>
        <w:t>structures</w:t>
      </w:r>
      <w:r w:rsidR="00473AE3" w:rsidRPr="00927055">
        <w:rPr>
          <w:lang w:val="en-US"/>
        </w:rPr>
        <w:t>.</w:t>
      </w:r>
      <w:r w:rsidR="004B1E14" w:rsidRPr="00927055">
        <w:rPr>
          <w:lang w:val="en-US"/>
        </w:rPr>
        <w:t xml:space="preserve"> </w:t>
      </w:r>
      <w:r w:rsidR="004B1E14" w:rsidRPr="004B1E14">
        <w:rPr>
          <w:lang w:val="en-US"/>
        </w:rPr>
        <w:t xml:space="preserve">Numerical validation of precast wall </w:t>
      </w:r>
      <w:r w:rsidR="004B1E14" w:rsidRPr="004B1E14">
        <w:rPr>
          <w:lang w:val="en-US"/>
        </w:rPr>
        <w:lastRenderedPageBreak/>
        <w:t>connection panels</w:t>
      </w:r>
      <w:r w:rsidR="004B1E14">
        <w:rPr>
          <w:lang w:val="en-US"/>
        </w:rPr>
        <w:t xml:space="preserve"> is done to ensure the proper characteristics of the numerical model. T</w:t>
      </w:r>
      <w:r w:rsidR="004B1E14" w:rsidRPr="004B1E14">
        <w:rPr>
          <w:lang w:val="en-US"/>
        </w:rPr>
        <w:t>he behaviour of the dowels is studied in detail for reliable numerical outcome</w:t>
      </w:r>
      <w:r w:rsidR="004B1E14">
        <w:rPr>
          <w:lang w:val="en-US"/>
        </w:rPr>
        <w:t>.</w:t>
      </w:r>
    </w:p>
    <w:p w:rsidR="00BB5309" w:rsidRDefault="0089611A" w:rsidP="00927055">
      <w:pPr>
        <w:pStyle w:val="-"/>
        <w:rPr>
          <w:lang w:val="en-US"/>
        </w:rPr>
      </w:pPr>
      <w:r w:rsidRPr="0089611A">
        <w:rPr>
          <w:lang w:val="en-US"/>
        </w:rPr>
        <w:t xml:space="preserve">The structural capacity curves </w:t>
      </w:r>
      <w:r>
        <w:rPr>
          <w:lang w:val="en-US"/>
        </w:rPr>
        <w:t xml:space="preserve">are </w:t>
      </w:r>
      <w:r w:rsidRPr="0089611A">
        <w:rPr>
          <w:lang w:val="en-US"/>
        </w:rPr>
        <w:t>used for the calculation of the analytical fragility functions</w:t>
      </w:r>
      <w:r>
        <w:rPr>
          <w:lang w:val="en-US"/>
        </w:rPr>
        <w:t>.</w:t>
      </w:r>
      <w:r w:rsidRPr="0089611A">
        <w:rPr>
          <w:lang w:val="en-US"/>
        </w:rPr>
        <w:t xml:space="preserve"> </w:t>
      </w:r>
      <w:r>
        <w:rPr>
          <w:lang w:val="en-US"/>
        </w:rPr>
        <w:t>They are</w:t>
      </w:r>
      <w:r w:rsidRPr="0089611A">
        <w:rPr>
          <w:lang w:val="en-US"/>
        </w:rPr>
        <w:t xml:space="preserve"> derived from the force-displacement curves obtained from the FE analysis together with the defined damage limits in terms of drifts for the dowels and the panels separately.</w:t>
      </w:r>
    </w:p>
    <w:p w:rsidR="002D7548" w:rsidRDefault="002D7548" w:rsidP="00927055">
      <w:pPr>
        <w:pStyle w:val="-"/>
        <w:rPr>
          <w:lang w:val="en-US"/>
        </w:rPr>
      </w:pPr>
      <w:r w:rsidRPr="002D7548">
        <w:rPr>
          <w:lang w:val="en-US"/>
        </w:rPr>
        <w:t xml:space="preserve">A comparison of the obtained </w:t>
      </w:r>
      <w:r>
        <w:rPr>
          <w:lang w:val="en-US"/>
        </w:rPr>
        <w:t>story</w:t>
      </w:r>
      <w:r w:rsidRPr="002D7548">
        <w:rPr>
          <w:lang w:val="en-US"/>
        </w:rPr>
        <w:t xml:space="preserve"> drift profile</w:t>
      </w:r>
      <w:r>
        <w:rPr>
          <w:lang w:val="en-US"/>
        </w:rPr>
        <w:t>s</w:t>
      </w:r>
      <w:r w:rsidRPr="002D7548">
        <w:rPr>
          <w:lang w:val="en-US"/>
        </w:rPr>
        <w:t xml:space="preserve"> shows a significant difference between the typologies considered. This difference can be interpreted as different types of seismic response, indicating that the studied typologies are very well</w:t>
      </w:r>
      <w:r w:rsidR="00AE4E20">
        <w:rPr>
          <w:lang w:val="en-US"/>
        </w:rPr>
        <w:t xml:space="preserve"> </w:t>
      </w:r>
      <w:r w:rsidRPr="002D7548">
        <w:rPr>
          <w:lang w:val="en-US"/>
        </w:rPr>
        <w:t>selected</w:t>
      </w:r>
      <w:r>
        <w:rPr>
          <w:lang w:val="en-US"/>
        </w:rPr>
        <w:t xml:space="preserve"> </w:t>
      </w:r>
      <w:r w:rsidRPr="002D7548">
        <w:rPr>
          <w:lang w:val="en-US"/>
        </w:rPr>
        <w:t xml:space="preserve">and indeed reflect significant differences in the </w:t>
      </w:r>
      <w:r>
        <w:rPr>
          <w:lang w:val="en-US"/>
        </w:rPr>
        <w:t>real</w:t>
      </w:r>
      <w:r w:rsidRPr="002D7548">
        <w:rPr>
          <w:lang w:val="en-US"/>
        </w:rPr>
        <w:t xml:space="preserve"> </w:t>
      </w:r>
      <w:r>
        <w:rPr>
          <w:lang w:val="en-US"/>
        </w:rPr>
        <w:t>structures</w:t>
      </w:r>
      <w:r w:rsidRPr="002D7548">
        <w:rPr>
          <w:lang w:val="en-US"/>
        </w:rPr>
        <w:t>.</w:t>
      </w:r>
    </w:p>
    <w:p w:rsidR="00F22A59" w:rsidRDefault="0033039A" w:rsidP="00927055">
      <w:pPr>
        <w:pStyle w:val="-"/>
        <w:rPr>
          <w:lang w:val="en-US"/>
        </w:rPr>
      </w:pPr>
      <w:r w:rsidRPr="0033039A">
        <w:rPr>
          <w:lang w:val="en-US"/>
        </w:rPr>
        <w:t>One of the most responsible parts of the project is the development of</w:t>
      </w:r>
      <w:r>
        <w:rPr>
          <w:lang w:val="en-US"/>
        </w:rPr>
        <w:t xml:space="preserve"> fragility functions. </w:t>
      </w:r>
      <w:bookmarkEnd w:id="8"/>
      <w:r w:rsidR="0019482C">
        <w:rPr>
          <w:lang w:val="en-US"/>
        </w:rPr>
        <w:t>A</w:t>
      </w:r>
      <w:r w:rsidR="0019482C" w:rsidRPr="0019482C">
        <w:rPr>
          <w:lang w:val="en-US"/>
        </w:rPr>
        <w:t>ll available fragility functions assigned to large-panel buildings are based on experts' judgement and/or analogy with RC shear wall structures and all large-panel building types are generalised in one structural typology</w:t>
      </w:r>
      <w:r w:rsidR="0019482C">
        <w:rPr>
          <w:lang w:val="en-US"/>
        </w:rPr>
        <w:t xml:space="preserve"> – for example Bulgarian participation in project RISK-UE.</w:t>
      </w:r>
      <w:r>
        <w:rPr>
          <w:lang w:val="en-US"/>
        </w:rPr>
        <w:t xml:space="preserve"> </w:t>
      </w:r>
      <w:r w:rsidR="00EA7ECB" w:rsidRPr="00EA7ECB">
        <w:rPr>
          <w:lang w:val="en-US"/>
        </w:rPr>
        <w:t>This is the main reason why the team had to proceed to develop</w:t>
      </w:r>
      <w:r w:rsidR="00EA7ECB">
        <w:rPr>
          <w:lang w:val="en-US"/>
        </w:rPr>
        <w:t xml:space="preserve"> own fragility, corresponding to the separate typologies. </w:t>
      </w:r>
      <w:r w:rsidR="00AD7865">
        <w:rPr>
          <w:lang w:val="en-US"/>
        </w:rPr>
        <w:t>Generally,</w:t>
      </w:r>
      <w:r w:rsidR="005860AB">
        <w:rPr>
          <w:lang w:val="en-US"/>
        </w:rPr>
        <w:t xml:space="preserve"> two main type fragilities are used:</w:t>
      </w:r>
    </w:p>
    <w:p w:rsidR="005860AB" w:rsidRDefault="005860AB" w:rsidP="00927055">
      <w:pPr>
        <w:pStyle w:val="-"/>
        <w:numPr>
          <w:ilvl w:val="0"/>
          <w:numId w:val="26"/>
        </w:numPr>
        <w:spacing w:after="60"/>
        <w:ind w:left="1570" w:hanging="357"/>
        <w:rPr>
          <w:lang w:val="en-US"/>
        </w:rPr>
      </w:pPr>
      <w:r>
        <w:rPr>
          <w:lang w:val="en-US"/>
        </w:rPr>
        <w:t>Structural fragility;</w:t>
      </w:r>
    </w:p>
    <w:p w:rsidR="005860AB" w:rsidRPr="0019482C" w:rsidRDefault="005860AB" w:rsidP="00927055">
      <w:pPr>
        <w:pStyle w:val="-"/>
        <w:numPr>
          <w:ilvl w:val="0"/>
          <w:numId w:val="26"/>
        </w:numPr>
        <w:spacing w:after="60"/>
        <w:ind w:left="1570" w:hanging="357"/>
        <w:rPr>
          <w:lang w:val="en-US"/>
        </w:rPr>
      </w:pPr>
      <w:r>
        <w:rPr>
          <w:lang w:val="en-US"/>
        </w:rPr>
        <w:t>Fragilities for out-of-plane failure of facades.</w:t>
      </w:r>
    </w:p>
    <w:p w:rsidR="00F22A59" w:rsidRPr="0019482C" w:rsidRDefault="00AF7D96" w:rsidP="00927055">
      <w:pPr>
        <w:pStyle w:val="-"/>
        <w:rPr>
          <w:lang w:val="en-US"/>
        </w:rPr>
      </w:pPr>
      <w:r w:rsidRPr="00AF7D96">
        <w:rPr>
          <w:lang w:val="en-US"/>
        </w:rPr>
        <w:t>All fragility functions use as EDP the Peak Ground Acceleration (PGA)</w:t>
      </w:r>
      <w:r>
        <w:rPr>
          <w:lang w:val="en-US"/>
        </w:rPr>
        <w:t xml:space="preserve"> and </w:t>
      </w:r>
      <w:r w:rsidRPr="00AF7D96">
        <w:rPr>
          <w:lang w:val="en-US"/>
        </w:rPr>
        <w:t xml:space="preserve">assumed to be with log-normally distribution with median capacity </w:t>
      </w:r>
      <w:r w:rsidRPr="00180197">
        <w:rPr>
          <w:b/>
          <w:lang w:val="en-US"/>
        </w:rPr>
        <w:t>Am</w:t>
      </w:r>
      <w:r w:rsidRPr="00AF7D96">
        <w:rPr>
          <w:lang w:val="en-US"/>
        </w:rPr>
        <w:t xml:space="preserve"> and log standard deviation </w:t>
      </w:r>
      <w:r w:rsidRPr="00180197">
        <w:rPr>
          <w:b/>
          <w:lang w:val="en-US"/>
        </w:rPr>
        <w:t>β</w:t>
      </w:r>
      <w:r w:rsidRPr="00AF7D96">
        <w:rPr>
          <w:lang w:val="en-US"/>
        </w:rPr>
        <w:t>.</w:t>
      </w:r>
    </w:p>
    <w:p w:rsidR="00F86B23" w:rsidRPr="005E6414" w:rsidRDefault="005E6414" w:rsidP="00927055">
      <w:pPr>
        <w:pStyle w:val="-"/>
        <w:rPr>
          <w:lang w:val="en-US"/>
        </w:rPr>
      </w:pPr>
      <w:r w:rsidRPr="005E6414">
        <w:rPr>
          <w:lang w:val="en-US"/>
        </w:rPr>
        <w:t xml:space="preserve">The median capacity for each damage state </w:t>
      </w:r>
      <w:r>
        <w:rPr>
          <w:lang w:val="en-US"/>
        </w:rPr>
        <w:t>i</w:t>
      </w:r>
      <w:r w:rsidRPr="005E6414">
        <w:rPr>
          <w:lang w:val="en-US"/>
        </w:rPr>
        <w:t xml:space="preserve">s estimated using the capacity curves derived from the non-linear FE models and applying to them the procedure of the Capacity Spectrum Method (CSM) provided in FEMA 440. The procedure </w:t>
      </w:r>
      <w:r>
        <w:rPr>
          <w:lang w:val="en-US"/>
        </w:rPr>
        <w:t>i</w:t>
      </w:r>
      <w:r w:rsidRPr="005E6414">
        <w:rPr>
          <w:lang w:val="en-US"/>
        </w:rPr>
        <w:t>s adapted to account for the typical modes of failure of the large panel buildings.</w:t>
      </w:r>
    </w:p>
    <w:p w:rsidR="005E6414" w:rsidRDefault="00D17669" w:rsidP="00927055">
      <w:pPr>
        <w:pStyle w:val="-"/>
        <w:rPr>
          <w:lang w:val="en-US"/>
        </w:rPr>
      </w:pPr>
      <w:r w:rsidRPr="00D17669">
        <w:rPr>
          <w:lang w:val="en-US"/>
        </w:rPr>
        <w:t xml:space="preserve">The uncertainty in the fragility functions </w:t>
      </w:r>
      <w:r>
        <w:rPr>
          <w:lang w:val="en-US"/>
        </w:rPr>
        <w:t>i</w:t>
      </w:r>
      <w:r w:rsidRPr="00D17669">
        <w:rPr>
          <w:lang w:val="en-US"/>
        </w:rPr>
        <w:t>s adopted from the recommendations by FEMA P-58-1</w:t>
      </w:r>
      <w:r w:rsidRPr="00927055">
        <w:rPr>
          <w:lang w:val="en-US"/>
        </w:rPr>
        <w:t xml:space="preserve">. </w:t>
      </w:r>
      <w:r w:rsidR="00AB3BD4">
        <w:rPr>
          <w:lang w:val="en-US"/>
        </w:rPr>
        <w:t xml:space="preserve">The composite log </w:t>
      </w:r>
      <w:r w:rsidRPr="00D17669">
        <w:rPr>
          <w:lang w:val="en-US"/>
        </w:rPr>
        <w:t xml:space="preserve">standard deviation (equal for both X and Y direction) </w:t>
      </w:r>
      <w:r w:rsidRPr="00180197">
        <w:rPr>
          <w:b/>
          <w:lang w:val="en-US"/>
        </w:rPr>
        <w:t>β</w:t>
      </w:r>
      <w:r w:rsidRPr="00D17669">
        <w:rPr>
          <w:lang w:val="en-US"/>
        </w:rPr>
        <w:t xml:space="preserve"> was calculated as the root mean square of the log-standard deviations for different components of aleatory variability</w:t>
      </w:r>
      <w:r w:rsidRPr="00927055">
        <w:rPr>
          <w:lang w:val="en-US"/>
        </w:rPr>
        <w:t xml:space="preserve"> </w:t>
      </w:r>
      <w:r w:rsidRPr="00180197">
        <w:rPr>
          <w:b/>
          <w:lang w:val="en-US"/>
        </w:rPr>
        <w:t>β r</w:t>
      </w:r>
      <w:r w:rsidRPr="00D17669">
        <w:rPr>
          <w:lang w:val="en-US"/>
        </w:rPr>
        <w:t xml:space="preserve"> (i.e. apparent randomness) and epistemic (model) uncertainty</w:t>
      </w:r>
      <w:r w:rsidRPr="00927055">
        <w:rPr>
          <w:lang w:val="en-US"/>
        </w:rPr>
        <w:t xml:space="preserve"> </w:t>
      </w:r>
      <w:r w:rsidRPr="00180197">
        <w:rPr>
          <w:b/>
          <w:lang w:val="en-US"/>
        </w:rPr>
        <w:t>β u</w:t>
      </w:r>
      <w:r w:rsidRPr="00D17669">
        <w:rPr>
          <w:lang w:val="en-US"/>
        </w:rPr>
        <w:t>.</w:t>
      </w:r>
    </w:p>
    <w:p w:rsidR="00015449" w:rsidRDefault="00015449" w:rsidP="00927055">
      <w:pPr>
        <w:pStyle w:val="-"/>
        <w:rPr>
          <w:lang w:val="en-US"/>
        </w:rPr>
      </w:pPr>
      <w:r w:rsidRPr="00015449">
        <w:rPr>
          <w:lang w:val="en-US"/>
        </w:rPr>
        <w:t xml:space="preserve">Five types of consequence models are used for the derivation of the vulnerability functions: </w:t>
      </w:r>
    </w:p>
    <w:p w:rsidR="00015449" w:rsidRDefault="00015449" w:rsidP="00927055">
      <w:pPr>
        <w:pStyle w:val="-"/>
        <w:numPr>
          <w:ilvl w:val="0"/>
          <w:numId w:val="25"/>
        </w:numPr>
        <w:spacing w:after="60"/>
        <w:ind w:left="1570" w:hanging="357"/>
        <w:rPr>
          <w:lang w:val="en-US"/>
        </w:rPr>
      </w:pPr>
      <w:r w:rsidRPr="00015449">
        <w:rPr>
          <w:lang w:val="en-US"/>
        </w:rPr>
        <w:t>loss due to structural damage</w:t>
      </w:r>
      <w:r>
        <w:rPr>
          <w:lang w:val="en-US"/>
        </w:rPr>
        <w:t>;</w:t>
      </w:r>
    </w:p>
    <w:p w:rsidR="00015449" w:rsidRDefault="00015449" w:rsidP="00927055">
      <w:pPr>
        <w:pStyle w:val="-"/>
        <w:numPr>
          <w:ilvl w:val="0"/>
          <w:numId w:val="25"/>
        </w:numPr>
        <w:spacing w:after="60"/>
        <w:ind w:left="1570" w:hanging="357"/>
        <w:rPr>
          <w:lang w:val="en-US"/>
        </w:rPr>
      </w:pPr>
      <w:r w:rsidRPr="00015449">
        <w:rPr>
          <w:lang w:val="en-US"/>
        </w:rPr>
        <w:t>loss due to facade damage</w:t>
      </w:r>
      <w:r>
        <w:rPr>
          <w:lang w:val="en-US"/>
        </w:rPr>
        <w:t>;</w:t>
      </w:r>
    </w:p>
    <w:p w:rsidR="00015449" w:rsidRDefault="00015449" w:rsidP="00927055">
      <w:pPr>
        <w:pStyle w:val="-"/>
        <w:numPr>
          <w:ilvl w:val="0"/>
          <w:numId w:val="25"/>
        </w:numPr>
        <w:spacing w:after="60"/>
        <w:ind w:left="1570" w:hanging="357"/>
        <w:rPr>
          <w:lang w:val="en-US"/>
        </w:rPr>
      </w:pPr>
      <w:r w:rsidRPr="00015449">
        <w:rPr>
          <w:lang w:val="en-US"/>
        </w:rPr>
        <w:t>loss due to damage of content</w:t>
      </w:r>
      <w:r>
        <w:rPr>
          <w:lang w:val="en-US"/>
        </w:rPr>
        <w:t>;</w:t>
      </w:r>
    </w:p>
    <w:p w:rsidR="00015449" w:rsidRDefault="00015449" w:rsidP="00927055">
      <w:pPr>
        <w:pStyle w:val="-"/>
        <w:numPr>
          <w:ilvl w:val="0"/>
          <w:numId w:val="25"/>
        </w:numPr>
        <w:spacing w:after="60"/>
        <w:ind w:left="1570" w:hanging="357"/>
        <w:rPr>
          <w:lang w:val="en-US"/>
        </w:rPr>
      </w:pPr>
      <w:r w:rsidRPr="00015449">
        <w:rPr>
          <w:lang w:val="en-US"/>
        </w:rPr>
        <w:t>need for temporal or permanent relocation of occupants</w:t>
      </w:r>
      <w:r>
        <w:rPr>
          <w:lang w:val="en-US"/>
        </w:rPr>
        <w:t>;</w:t>
      </w:r>
    </w:p>
    <w:p w:rsidR="00F86B23" w:rsidRPr="00015449" w:rsidRDefault="00015449" w:rsidP="00927055">
      <w:pPr>
        <w:pStyle w:val="-"/>
        <w:numPr>
          <w:ilvl w:val="0"/>
          <w:numId w:val="25"/>
        </w:numPr>
        <w:spacing w:after="60"/>
        <w:ind w:left="1570" w:hanging="357"/>
        <w:rPr>
          <w:lang w:val="en-US"/>
        </w:rPr>
      </w:pPr>
      <w:r w:rsidRPr="00015449">
        <w:rPr>
          <w:lang w:val="en-US"/>
        </w:rPr>
        <w:t>injures and casualties.</w:t>
      </w:r>
    </w:p>
    <w:p w:rsidR="004E2A83" w:rsidRPr="004E2A83" w:rsidRDefault="004E2A83" w:rsidP="00927055">
      <w:pPr>
        <w:pStyle w:val="-"/>
        <w:rPr>
          <w:lang w:val="en-US"/>
        </w:rPr>
      </w:pPr>
      <w:r w:rsidRPr="004E2A83">
        <w:rPr>
          <w:lang w:val="en-US"/>
        </w:rPr>
        <w:t xml:space="preserve">At each damage state the loss ratio is represented by a mean value and a coefficient of variation. The Consequences models </w:t>
      </w:r>
      <w:r>
        <w:rPr>
          <w:lang w:val="en-US"/>
        </w:rPr>
        <w:t>a</w:t>
      </w:r>
      <w:r w:rsidRPr="004E2A83">
        <w:rPr>
          <w:lang w:val="en-US"/>
        </w:rPr>
        <w:t>re based either on calculations performed for the purpose of the project, or on recommendations by Hazus FM or FEMA P-58-1.</w:t>
      </w:r>
    </w:p>
    <w:p w:rsidR="00F86B23" w:rsidRPr="004E2A83" w:rsidRDefault="00071D02" w:rsidP="00927055">
      <w:pPr>
        <w:pStyle w:val="-"/>
        <w:rPr>
          <w:lang w:val="en-US"/>
        </w:rPr>
      </w:pPr>
      <w:r w:rsidRPr="00071D02">
        <w:rPr>
          <w:lang w:val="en-US"/>
        </w:rPr>
        <w:t>Several assumptions are used to determine the losses, which are fully acceptable in terms of the practical results for the seismic risk assessment.</w:t>
      </w:r>
      <w:r>
        <w:rPr>
          <w:lang w:val="en-US"/>
        </w:rPr>
        <w:t xml:space="preserve"> </w:t>
      </w:r>
    </w:p>
    <w:p w:rsidR="00947E58" w:rsidRPr="00947E58" w:rsidRDefault="00947E58" w:rsidP="00927055">
      <w:pPr>
        <w:pStyle w:val="-"/>
        <w:rPr>
          <w:lang w:val="en-US"/>
        </w:rPr>
      </w:pPr>
      <w:r w:rsidRPr="00947E58">
        <w:rPr>
          <w:lang w:val="en-US"/>
        </w:rPr>
        <w:t xml:space="preserve">The vulnerability curves used to perform the risk analyses </w:t>
      </w:r>
      <w:r>
        <w:rPr>
          <w:lang w:val="en-US"/>
        </w:rPr>
        <w:t>a</w:t>
      </w:r>
      <w:r w:rsidRPr="00947E58">
        <w:rPr>
          <w:lang w:val="en-US"/>
        </w:rPr>
        <w:t>re evaluated from the associated fragility and consequence models to the respective asset/taxonomy/component.</w:t>
      </w:r>
    </w:p>
    <w:p w:rsidR="00947E58" w:rsidRPr="00947E58" w:rsidRDefault="00947E58" w:rsidP="00927055">
      <w:pPr>
        <w:pStyle w:val="-"/>
        <w:rPr>
          <w:lang w:val="en-US"/>
        </w:rPr>
      </w:pPr>
      <w:r w:rsidRPr="00947E58">
        <w:rPr>
          <w:lang w:val="en-US"/>
        </w:rPr>
        <w:t xml:space="preserve">The absolute losses </w:t>
      </w:r>
      <w:r>
        <w:rPr>
          <w:lang w:val="en-US"/>
        </w:rPr>
        <w:t>a</w:t>
      </w:r>
      <w:r w:rsidRPr="00947E58">
        <w:rPr>
          <w:lang w:val="en-US"/>
        </w:rPr>
        <w:t>re then estimated from the product between the Loss Exceedance Ratios and the cost values for the asset from the exposure model.</w:t>
      </w:r>
    </w:p>
    <w:p w:rsidR="00E541C6" w:rsidRPr="00025357" w:rsidRDefault="00E541C6" w:rsidP="00927055">
      <w:pPr>
        <w:pStyle w:val="-"/>
        <w:rPr>
          <w:lang w:val="en-US"/>
        </w:rPr>
      </w:pPr>
      <w:r w:rsidRPr="00E541C6">
        <w:t xml:space="preserve">The overall approach to the assessment of the seismic </w:t>
      </w:r>
      <w:r>
        <w:rPr>
          <w:lang w:val="en-US"/>
        </w:rPr>
        <w:t>fragility and vulnerability</w:t>
      </w:r>
      <w:r w:rsidRPr="00E541C6">
        <w:t xml:space="preserve"> is fully consistent with the basic principles and concepts of the </w:t>
      </w:r>
      <w:r>
        <w:rPr>
          <w:lang w:val="en-US"/>
        </w:rPr>
        <w:t xml:space="preserve">FEMA </w:t>
      </w:r>
      <w:r w:rsidRPr="004E2A83">
        <w:rPr>
          <w:lang w:val="en-US"/>
        </w:rPr>
        <w:t>P-58-1</w:t>
      </w:r>
      <w:r w:rsidRPr="00E541C6">
        <w:t xml:space="preserve"> namely: </w:t>
      </w:r>
      <w:r w:rsidR="0015584E" w:rsidRPr="0015584E">
        <w:rPr>
          <w:lang w:val="en-US"/>
        </w:rPr>
        <w:t xml:space="preserve">to develop fragility functions for the representative structural typologies and to </w:t>
      </w:r>
      <w:r w:rsidR="0015584E">
        <w:rPr>
          <w:lang w:val="en-US"/>
        </w:rPr>
        <w:t>develope</w:t>
      </w:r>
      <w:r w:rsidR="0015584E" w:rsidRPr="0015584E">
        <w:rPr>
          <w:lang w:val="en-US"/>
        </w:rPr>
        <w:t xml:space="preserve"> corresponding vulnerability functions through damage-loss correlations.</w:t>
      </w:r>
    </w:p>
    <w:p w:rsidR="00CA2AEB" w:rsidRPr="00CA2AEB" w:rsidRDefault="00CA2AEB" w:rsidP="00927055">
      <w:pPr>
        <w:pStyle w:val="-"/>
        <w:rPr>
          <w:lang w:val="en-US"/>
        </w:rPr>
      </w:pPr>
      <w:r w:rsidRPr="00CA2AEB">
        <w:rPr>
          <w:lang w:val="en-US"/>
        </w:rPr>
        <w:lastRenderedPageBreak/>
        <w:t xml:space="preserve">The main strategy for determination of </w:t>
      </w:r>
      <w:r>
        <w:rPr>
          <w:lang w:val="en-US"/>
        </w:rPr>
        <w:t xml:space="preserve">seismic risk </w:t>
      </w:r>
      <w:r w:rsidRPr="00CA2AEB">
        <w:rPr>
          <w:lang w:val="en-US"/>
        </w:rPr>
        <w:t xml:space="preserve">is to use the seismic hazard results. This is a modern approach which is widely used worldwide. </w:t>
      </w:r>
    </w:p>
    <w:p w:rsidR="00C839ED" w:rsidRDefault="00C839ED" w:rsidP="00927055">
      <w:pPr>
        <w:pStyle w:val="-"/>
        <w:rPr>
          <w:lang w:val="en-US"/>
        </w:rPr>
      </w:pPr>
      <w:r w:rsidRPr="00C839ED">
        <w:rPr>
          <w:lang w:val="en-US"/>
        </w:rPr>
        <w:t>We fully accept the authors' claims for innovation and contribution to the global</w:t>
      </w:r>
      <w:r w:rsidRPr="00C839ED">
        <w:rPr>
          <w:rFonts w:ascii="Arial" w:eastAsia="Arial" w:hAnsi="Arial" w:cs="Arial"/>
          <w:color w:val="000000"/>
          <w:sz w:val="20"/>
          <w:lang w:val="en-US" w:eastAsia="bg-BG"/>
        </w:rPr>
        <w:t xml:space="preserve"> </w:t>
      </w:r>
      <w:r w:rsidRPr="00C839ED">
        <w:rPr>
          <w:lang w:val="en-US"/>
        </w:rPr>
        <w:t xml:space="preserve">earthquake engineering database. Over the last 25 years, a number of studies have been carried out in Bulgaria on the workings of the dowels of the large-scale buildings. Two </w:t>
      </w:r>
      <w:r>
        <w:rPr>
          <w:lang w:val="en-US"/>
        </w:rPr>
        <w:t>Ph.D.</w:t>
      </w:r>
      <w:r w:rsidRPr="00C839ED">
        <w:rPr>
          <w:lang w:val="en-US"/>
        </w:rPr>
        <w:t xml:space="preserve"> dissertations, supported by experimental research, were developed. Despite these results, no one in Bulgaria has so far developed a three-dimensional computational model of a panel</w:t>
      </w:r>
      <w:r>
        <w:rPr>
          <w:lang w:val="en-US"/>
        </w:rPr>
        <w:t xml:space="preserve"> building</w:t>
      </w:r>
      <w:r w:rsidRPr="00C839ED">
        <w:rPr>
          <w:lang w:val="en-US"/>
        </w:rPr>
        <w:t xml:space="preserve"> in which to account for the nonlinear work of the panels themselves and the dowels that connect them. In this respect, </w:t>
      </w:r>
      <w:r w:rsidR="00AD7865" w:rsidRPr="00C839ED">
        <w:rPr>
          <w:lang w:val="en-US"/>
        </w:rPr>
        <w:t xml:space="preserve">the </w:t>
      </w:r>
      <w:r w:rsidR="00AD7865">
        <w:rPr>
          <w:lang w:val="en-US"/>
        </w:rPr>
        <w:t>project</w:t>
      </w:r>
      <w:r w:rsidRPr="00C839ED">
        <w:rPr>
          <w:lang w:val="en-US"/>
        </w:rPr>
        <w:t xml:space="preserve"> is really pioneering.</w:t>
      </w:r>
      <w:r>
        <w:rPr>
          <w:lang w:val="en-US"/>
        </w:rPr>
        <w:t xml:space="preserve"> </w:t>
      </w:r>
      <w:r w:rsidRPr="00C839ED">
        <w:rPr>
          <w:lang w:val="en-US"/>
        </w:rPr>
        <w:t>The most critical element of the model</w:t>
      </w:r>
      <w:r>
        <w:rPr>
          <w:lang w:val="en-US"/>
        </w:rPr>
        <w:t xml:space="preserve"> -</w:t>
      </w:r>
      <w:r w:rsidRPr="00C839ED">
        <w:rPr>
          <w:lang w:val="en-US"/>
        </w:rPr>
        <w:t xml:space="preserve"> the dowels, </w:t>
      </w:r>
      <w:r>
        <w:rPr>
          <w:lang w:val="en-US"/>
        </w:rPr>
        <w:t>i</w:t>
      </w:r>
      <w:r w:rsidRPr="00C839ED">
        <w:rPr>
          <w:lang w:val="en-US"/>
        </w:rPr>
        <w:t xml:space="preserve">s validated by comparing their shear response under beyond design loads with experimental results. The level of detail of the numerical models </w:t>
      </w:r>
      <w:r>
        <w:rPr>
          <w:lang w:val="en-US"/>
        </w:rPr>
        <w:t>i</w:t>
      </w:r>
      <w:r w:rsidRPr="00C839ED">
        <w:rPr>
          <w:lang w:val="en-US"/>
        </w:rPr>
        <w:t>s fundamental for the understanding of the global seismic response of large-panel buildings (sliding-friction energy dissipation mechanim) and to explain their favourable performance in past earthquakes.</w:t>
      </w:r>
      <w:r>
        <w:rPr>
          <w:lang w:val="en-US"/>
        </w:rPr>
        <w:t xml:space="preserve"> </w:t>
      </w:r>
    </w:p>
    <w:p w:rsidR="00B94279" w:rsidRDefault="00B94279" w:rsidP="00927055">
      <w:pPr>
        <w:pStyle w:val="-"/>
        <w:rPr>
          <w:lang w:val="en-US"/>
        </w:rPr>
      </w:pPr>
      <w:r w:rsidRPr="00904926">
        <w:t>The old generation Bulgarian civil engineers firmly believed that large panel buildings are very resistant to earthquakes, but only now we have analytical and numerical evidence for this – fragility and vulnerability curves, developed for several tipologies. All this is undoubtedly a great success and a big step for earthquake engineering in Bulgaria.</w:t>
      </w:r>
    </w:p>
    <w:p w:rsidR="003C25A1" w:rsidRDefault="003C25A1" w:rsidP="00904926">
      <w:pPr>
        <w:pStyle w:val="-"/>
        <w:rPr>
          <w:lang w:val="en-US"/>
        </w:rPr>
      </w:pPr>
    </w:p>
    <w:p w:rsidR="00AB3BD4" w:rsidRPr="00AB3BD4" w:rsidRDefault="003C25A1" w:rsidP="00927055">
      <w:pPr>
        <w:pStyle w:val="-"/>
        <w:rPr>
          <w:bCs/>
          <w:lang w:val="en-US"/>
        </w:rPr>
      </w:pPr>
      <w:r w:rsidRPr="00AB3BD4">
        <w:rPr>
          <w:b/>
          <w:i/>
          <w:u w:val="single"/>
          <w:lang w:val="en-US"/>
        </w:rPr>
        <w:t>Comment:</w:t>
      </w:r>
      <w:r>
        <w:rPr>
          <w:lang w:val="en-US"/>
        </w:rPr>
        <w:t xml:space="preserve"> </w:t>
      </w:r>
      <w:r w:rsidR="00AB3BD4">
        <w:rPr>
          <w:lang w:val="en-US"/>
        </w:rPr>
        <w:t>The p</w:t>
      </w:r>
      <w:r w:rsidR="00AB3BD4" w:rsidRPr="00AB3BD4">
        <w:rPr>
          <w:lang w:val="en-US"/>
        </w:rPr>
        <w:t>arameters of the fragility function for the explicitly analysed structural typologies</w:t>
      </w:r>
      <w:r w:rsidR="00AB3BD4">
        <w:rPr>
          <w:lang w:val="en-US"/>
        </w:rPr>
        <w:t xml:space="preserve"> are given in </w:t>
      </w:r>
      <w:r w:rsidR="00AB3BD4" w:rsidRPr="00AB3BD4">
        <w:rPr>
          <w:lang w:val="en-US"/>
        </w:rPr>
        <w:t xml:space="preserve">Table </w:t>
      </w:r>
      <w:r w:rsidR="00AB3BD4" w:rsidRPr="00AB3BD4">
        <w:rPr>
          <w:lang w:val="bg"/>
        </w:rPr>
        <w:t>1</w:t>
      </w:r>
      <w:r w:rsidR="00AB3BD4">
        <w:rPr>
          <w:lang w:val="en-US"/>
        </w:rPr>
        <w:t xml:space="preserve"> in item “</w:t>
      </w:r>
      <w:r w:rsidR="00AB3BD4" w:rsidRPr="00AB3BD4">
        <w:rPr>
          <w:bCs/>
          <w:lang w:val="bg"/>
        </w:rPr>
        <w:t xml:space="preserve">6.1.1 </w:t>
      </w:r>
      <w:r w:rsidR="00AB3BD4" w:rsidRPr="00AB3BD4">
        <w:rPr>
          <w:bCs/>
          <w:lang w:val="en-US"/>
        </w:rPr>
        <w:t>Fragility functions for structural damage</w:t>
      </w:r>
      <w:r w:rsidR="00AB3BD4">
        <w:rPr>
          <w:bCs/>
          <w:lang w:val="en-US"/>
        </w:rPr>
        <w:t xml:space="preserve">”. It must be noted that the values of the parameter </w:t>
      </w:r>
      <w:r w:rsidR="00AB3BD4" w:rsidRPr="00180197">
        <w:rPr>
          <w:b/>
          <w:i/>
          <w:lang w:val="en-US"/>
        </w:rPr>
        <w:t>β</w:t>
      </w:r>
      <w:r w:rsidR="00AB3BD4">
        <w:rPr>
          <w:i/>
          <w:lang w:val="en-US"/>
        </w:rPr>
        <w:t xml:space="preserve"> </w:t>
      </w:r>
      <w:r w:rsidR="00AB3BD4">
        <w:rPr>
          <w:lang w:val="en-US"/>
        </w:rPr>
        <w:t>(</w:t>
      </w:r>
      <w:r w:rsidR="00AB3BD4" w:rsidRPr="00AB3BD4">
        <w:rPr>
          <w:lang w:val="en-US"/>
        </w:rPr>
        <w:t>standard deviation</w:t>
      </w:r>
      <w:r w:rsidR="00AB3BD4">
        <w:rPr>
          <w:lang w:val="en-US"/>
        </w:rPr>
        <w:t xml:space="preserve">) are the same for the last three damage states DS3, DS4 and DS5. This result is a little bit strange because it is hard to believe that the </w:t>
      </w:r>
      <w:r w:rsidR="00AB3BD4" w:rsidRPr="00AB3BD4">
        <w:rPr>
          <w:lang w:val="en-US"/>
        </w:rPr>
        <w:t>uncertainty</w:t>
      </w:r>
      <w:r w:rsidR="00AB3BD4">
        <w:rPr>
          <w:lang w:val="en-US"/>
        </w:rPr>
        <w:t xml:space="preserve"> </w:t>
      </w:r>
      <w:r w:rsidR="00A50E3E">
        <w:rPr>
          <w:lang w:val="en-US"/>
        </w:rPr>
        <w:t xml:space="preserve">for DS3 can be equal to </w:t>
      </w:r>
      <w:r w:rsidR="00A50E3E" w:rsidRPr="00AB3BD4">
        <w:rPr>
          <w:lang w:val="en-US"/>
        </w:rPr>
        <w:t>uncertainty</w:t>
      </w:r>
      <w:r w:rsidR="00A50E3E">
        <w:rPr>
          <w:lang w:val="en-US"/>
        </w:rPr>
        <w:t xml:space="preserve"> for DS5. </w:t>
      </w:r>
      <w:r w:rsidR="00A50E3E" w:rsidRPr="00A50E3E">
        <w:rPr>
          <w:lang w:val="en-US"/>
        </w:rPr>
        <w:t xml:space="preserve">If one compares the </w:t>
      </w:r>
      <w:r w:rsidR="00A50E3E">
        <w:rPr>
          <w:lang w:val="en-US"/>
        </w:rPr>
        <w:t xml:space="preserve">fragility </w:t>
      </w:r>
      <w:r w:rsidR="00A50E3E" w:rsidRPr="00A50E3E">
        <w:rPr>
          <w:lang w:val="en-US"/>
        </w:rPr>
        <w:t xml:space="preserve">curves with other well-known projects like </w:t>
      </w:r>
      <w:r w:rsidR="00A50E3E">
        <w:rPr>
          <w:lang w:val="en-US"/>
        </w:rPr>
        <w:t>HAZUS, Risk-UE, SINER-G</w:t>
      </w:r>
      <w:r w:rsidR="00A50E3E" w:rsidRPr="00A50E3E">
        <w:rPr>
          <w:lang w:val="en-US"/>
        </w:rPr>
        <w:t xml:space="preserve"> it will be seen that </w:t>
      </w:r>
      <w:r w:rsidR="00A50E3E" w:rsidRPr="00DA1CA4">
        <w:rPr>
          <w:b/>
          <w:i/>
          <w:lang w:val="en-US"/>
        </w:rPr>
        <w:t>β</w:t>
      </w:r>
      <w:r w:rsidR="00A50E3E" w:rsidRPr="00A50E3E">
        <w:rPr>
          <w:lang w:val="en-US"/>
        </w:rPr>
        <w:t xml:space="preserve"> values are increasing</w:t>
      </w:r>
      <w:r w:rsidR="00A50E3E">
        <w:rPr>
          <w:lang w:val="en-US"/>
        </w:rPr>
        <w:t xml:space="preserve">. </w:t>
      </w:r>
      <w:r w:rsidR="003602FC">
        <w:rPr>
          <w:lang w:val="en-US"/>
        </w:rPr>
        <w:t>This makes sense from engineering point of view too.</w:t>
      </w:r>
    </w:p>
    <w:p w:rsidR="00AB3BD4" w:rsidRPr="00AB3BD4" w:rsidRDefault="00AB3BD4" w:rsidP="00AB3BD4">
      <w:pPr>
        <w:pStyle w:val="-"/>
        <w:rPr>
          <w:lang w:val="en-US"/>
        </w:rPr>
      </w:pPr>
    </w:p>
    <w:p w:rsidR="00904926" w:rsidRPr="00904926" w:rsidRDefault="00904926" w:rsidP="00904926">
      <w:pPr>
        <w:pStyle w:val="M-1"/>
        <w:numPr>
          <w:ilvl w:val="0"/>
          <w:numId w:val="20"/>
        </w:numPr>
      </w:pPr>
      <w:bookmarkStart w:id="11" w:name="_Toc3297877"/>
      <w:r>
        <w:t xml:space="preserve">REVIEW OF </w:t>
      </w:r>
      <w:r w:rsidRPr="00D46151">
        <w:t xml:space="preserve">Component </w:t>
      </w:r>
      <w:r>
        <w:t>3</w:t>
      </w:r>
      <w:r w:rsidRPr="00D46151">
        <w:rPr>
          <w:lang w:val="bg"/>
        </w:rPr>
        <w:t xml:space="preserve"> - </w:t>
      </w:r>
      <w:r w:rsidRPr="00904926">
        <w:t>Probabilistic and deterministic seismic risk assessment</w:t>
      </w:r>
      <w:bookmarkEnd w:id="11"/>
    </w:p>
    <w:p w:rsidR="002B75DC" w:rsidRPr="002B75DC" w:rsidRDefault="002B75DC" w:rsidP="009C4B11">
      <w:pPr>
        <w:pStyle w:val="-"/>
        <w:rPr>
          <w:lang w:val="en-US"/>
        </w:rPr>
      </w:pPr>
      <w:r w:rsidRPr="002B75DC">
        <w:rPr>
          <w:lang w:val="en-US"/>
        </w:rPr>
        <w:t xml:space="preserve">The risk analyses </w:t>
      </w:r>
      <w:r>
        <w:rPr>
          <w:lang w:val="en-US"/>
        </w:rPr>
        <w:t>are</w:t>
      </w:r>
      <w:r w:rsidRPr="002B75DC">
        <w:rPr>
          <w:lang w:val="en-US"/>
        </w:rPr>
        <w:t xml:space="preserve"> performed </w:t>
      </w:r>
      <w:r>
        <w:rPr>
          <w:lang w:val="en-US"/>
        </w:rPr>
        <w:t>based on</w:t>
      </w:r>
      <w:r w:rsidRPr="002B75DC">
        <w:rPr>
          <w:lang w:val="en-US"/>
        </w:rPr>
        <w:t xml:space="preserve"> the results from the probabilistic and the deterministic seismic hazard, the exposure data and the fragility and the vulnerability curves for structural and non-structural assets for each of the identified typologies.</w:t>
      </w:r>
    </w:p>
    <w:p w:rsidR="005E19D5" w:rsidRDefault="00C60AA6" w:rsidP="009C4B11">
      <w:pPr>
        <w:pStyle w:val="-"/>
        <w:rPr>
          <w:lang w:val="en-US"/>
        </w:rPr>
      </w:pPr>
      <w:r w:rsidRPr="00C60AA6">
        <w:rPr>
          <w:lang w:val="en-US"/>
        </w:rPr>
        <w:t xml:space="preserve">The risk analysis </w:t>
      </w:r>
      <w:r>
        <w:rPr>
          <w:lang w:val="en-US"/>
        </w:rPr>
        <w:t>is</w:t>
      </w:r>
      <w:r w:rsidRPr="00C60AA6">
        <w:rPr>
          <w:lang w:val="en-US"/>
        </w:rPr>
        <w:t xml:space="preserve"> </w:t>
      </w:r>
      <w:r>
        <w:rPr>
          <w:lang w:val="en-US"/>
        </w:rPr>
        <w:t>performed</w:t>
      </w:r>
      <w:r w:rsidRPr="00C60AA6">
        <w:rPr>
          <w:lang w:val="en-US"/>
        </w:rPr>
        <w:t xml:space="preserve"> both probabilistic for the country and deterministic for </w:t>
      </w:r>
      <w:r w:rsidRPr="00C60AA6">
        <w:rPr>
          <w:lang w:val="bg"/>
        </w:rPr>
        <w:t xml:space="preserve">5 </w:t>
      </w:r>
      <w:r w:rsidRPr="00C60AA6">
        <w:rPr>
          <w:lang w:val="en-US"/>
        </w:rPr>
        <w:t>major cities</w:t>
      </w:r>
      <w:r>
        <w:rPr>
          <w:lang w:val="en-US"/>
        </w:rPr>
        <w:t xml:space="preserve">. </w:t>
      </w:r>
      <w:r w:rsidRPr="00C60AA6">
        <w:rPr>
          <w:lang w:val="en-US"/>
        </w:rPr>
        <w:t xml:space="preserve">The risk analysis itself </w:t>
      </w:r>
      <w:r>
        <w:rPr>
          <w:lang w:val="en-US"/>
        </w:rPr>
        <w:t>is</w:t>
      </w:r>
      <w:r w:rsidRPr="00C60AA6">
        <w:rPr>
          <w:lang w:val="en-US"/>
        </w:rPr>
        <w:t xml:space="preserve"> run with the OpenQuake engine. </w:t>
      </w:r>
      <w:r w:rsidR="005E19D5">
        <w:rPr>
          <w:lang w:val="en-US"/>
        </w:rPr>
        <w:t xml:space="preserve">Additional </w:t>
      </w:r>
      <w:r w:rsidR="005E19D5" w:rsidRPr="005E19D5">
        <w:rPr>
          <w:lang w:val="en-US"/>
        </w:rPr>
        <w:t xml:space="preserve">routine </w:t>
      </w:r>
      <w:r w:rsidR="005E19D5">
        <w:rPr>
          <w:lang w:val="en-US"/>
        </w:rPr>
        <w:t>i</w:t>
      </w:r>
      <w:r w:rsidR="005E19D5" w:rsidRPr="005E19D5">
        <w:rPr>
          <w:lang w:val="en-US"/>
        </w:rPr>
        <w:t>s developed</w:t>
      </w:r>
      <w:r w:rsidR="005E19D5">
        <w:rPr>
          <w:lang w:val="en-US"/>
        </w:rPr>
        <w:t xml:space="preserve"> </w:t>
      </w:r>
      <w:r w:rsidR="005E19D5" w:rsidRPr="005E19D5">
        <w:rPr>
          <w:lang w:val="en-US"/>
        </w:rPr>
        <w:t>to automatically prepare the set of input files, to interpret the results in a comprehensive format and to tackle the limitations of the opensource software</w:t>
      </w:r>
      <w:r w:rsidR="005E19D5">
        <w:rPr>
          <w:lang w:val="en-US"/>
        </w:rPr>
        <w:t>.</w:t>
      </w:r>
    </w:p>
    <w:p w:rsidR="00C60AA6" w:rsidRDefault="00C60AA6" w:rsidP="009C4B11">
      <w:pPr>
        <w:pStyle w:val="-"/>
        <w:rPr>
          <w:lang w:val="en-US"/>
        </w:rPr>
      </w:pPr>
      <w:r w:rsidRPr="00C60AA6">
        <w:rPr>
          <w:lang w:val="en-US"/>
        </w:rPr>
        <w:t xml:space="preserve">Probabilistic and scenario seismic risk and damage analyses </w:t>
      </w:r>
      <w:r>
        <w:rPr>
          <w:lang w:val="en-US"/>
        </w:rPr>
        <w:t>are</w:t>
      </w:r>
      <w:r w:rsidRPr="00C60AA6">
        <w:rPr>
          <w:lang w:val="en-US"/>
        </w:rPr>
        <w:t xml:space="preserve"> performed in terms of structural, non- structural, and content damage/loss.</w:t>
      </w:r>
    </w:p>
    <w:p w:rsidR="007F7FBF" w:rsidRPr="00C60AA6" w:rsidRDefault="007F7FBF" w:rsidP="009C4B11">
      <w:pPr>
        <w:pStyle w:val="-"/>
        <w:rPr>
          <w:lang w:val="en-US"/>
        </w:rPr>
      </w:pPr>
      <w:r w:rsidRPr="007F7FBF">
        <w:rPr>
          <w:lang w:val="en-US"/>
        </w:rPr>
        <w:t>The output of the risk analysis is in terms of direct monetary loss (repair and replacement cost), interpreted also from the point of view of the exposed values, casualties, and habitability of the affected buildings (period for reoccupation). The results are presented in graphics, tables and maps.</w:t>
      </w:r>
    </w:p>
    <w:p w:rsidR="00812A8D" w:rsidRPr="00904926" w:rsidRDefault="007779A9" w:rsidP="009C4B11">
      <w:pPr>
        <w:pStyle w:val="-"/>
      </w:pPr>
      <w:r w:rsidRPr="007779A9">
        <w:rPr>
          <w:lang w:val="en-US"/>
        </w:rPr>
        <w:t xml:space="preserve">The risk </w:t>
      </w:r>
      <w:r>
        <w:rPr>
          <w:lang w:val="en-US"/>
        </w:rPr>
        <w:t>assessment</w:t>
      </w:r>
      <w:r w:rsidRPr="007779A9">
        <w:rPr>
          <w:lang w:val="en-US"/>
        </w:rPr>
        <w:t xml:space="preserve"> </w:t>
      </w:r>
      <w:r>
        <w:rPr>
          <w:lang w:val="en-US"/>
        </w:rPr>
        <w:t>is</w:t>
      </w:r>
      <w:r w:rsidRPr="007779A9">
        <w:rPr>
          <w:lang w:val="en-US"/>
        </w:rPr>
        <w:t xml:space="preserve"> based on ASTM E2026 </w:t>
      </w:r>
      <w:r w:rsidRPr="007779A9">
        <w:rPr>
          <w:lang w:val="bg"/>
        </w:rPr>
        <w:t xml:space="preserve">- </w:t>
      </w:r>
      <w:r w:rsidRPr="007779A9">
        <w:rPr>
          <w:lang w:val="en-US"/>
        </w:rPr>
        <w:t>16a (Standard Guide for</w:t>
      </w:r>
      <w:r>
        <w:rPr>
          <w:lang w:val="en-US"/>
        </w:rPr>
        <w:t xml:space="preserve"> </w:t>
      </w:r>
      <w:r w:rsidRPr="007779A9">
        <w:rPr>
          <w:lang w:val="en-US"/>
        </w:rPr>
        <w:t xml:space="preserve">Seismic Risk Assessment of Buildings) and ASTM E2557 </w:t>
      </w:r>
      <w:r w:rsidRPr="007779A9">
        <w:rPr>
          <w:lang w:val="bg"/>
        </w:rPr>
        <w:t xml:space="preserve">- </w:t>
      </w:r>
      <w:r w:rsidRPr="007779A9">
        <w:rPr>
          <w:lang w:val="en-US"/>
        </w:rPr>
        <w:t>16a (Standard Practice for Probable</w:t>
      </w:r>
      <w:r>
        <w:rPr>
          <w:lang w:val="en-US"/>
        </w:rPr>
        <w:t xml:space="preserve"> </w:t>
      </w:r>
      <w:r w:rsidRPr="007779A9">
        <w:rPr>
          <w:lang w:val="en-US"/>
        </w:rPr>
        <w:t>Maximum Loss (PML) Evaluation for Earthquake Due-Diligence Assessment).</w:t>
      </w:r>
    </w:p>
    <w:p w:rsidR="0007008E" w:rsidRDefault="0007008E" w:rsidP="009C4B11">
      <w:pPr>
        <w:pStyle w:val="-"/>
        <w:rPr>
          <w:lang w:val="en-US"/>
        </w:rPr>
      </w:pPr>
      <w:r w:rsidRPr="0007008E">
        <w:rPr>
          <w:lang w:val="en-US"/>
        </w:rPr>
        <w:t>T</w:t>
      </w:r>
      <w:r>
        <w:rPr>
          <w:lang w:val="en-US"/>
        </w:rPr>
        <w:t>he team trie to</w:t>
      </w:r>
      <w:r w:rsidRPr="0007008E">
        <w:rPr>
          <w:lang w:val="en-US"/>
        </w:rPr>
        <w:t xml:space="preserve"> perform a validation of the results </w:t>
      </w:r>
      <w:r>
        <w:rPr>
          <w:lang w:val="en-US"/>
        </w:rPr>
        <w:t>from</w:t>
      </w:r>
      <w:r w:rsidRPr="0007008E">
        <w:rPr>
          <w:lang w:val="en-US"/>
        </w:rPr>
        <w:t xml:space="preserve"> risk and damage analysis output with the information found on the impact of historical seismic events. </w:t>
      </w:r>
      <w:r>
        <w:rPr>
          <w:lang w:val="en-US"/>
        </w:rPr>
        <w:t>It turns out that</w:t>
      </w:r>
      <w:r w:rsidRPr="0007008E">
        <w:rPr>
          <w:lang w:val="en-US"/>
        </w:rPr>
        <w:t xml:space="preserve"> the available information for large-panel buildings is scarce and the statistics on damage observed after earthquakes is incomplete. Due to this, the validation </w:t>
      </w:r>
      <w:r>
        <w:rPr>
          <w:lang w:val="en-US"/>
        </w:rPr>
        <w:t>is</w:t>
      </w:r>
      <w:r w:rsidRPr="0007008E">
        <w:rPr>
          <w:lang w:val="en-US"/>
        </w:rPr>
        <w:t xml:space="preserve"> performed more qualitative, rather than quantitative.</w:t>
      </w:r>
      <w:r w:rsidR="00FE734B">
        <w:rPr>
          <w:lang w:val="en-US"/>
        </w:rPr>
        <w:t xml:space="preserve"> </w:t>
      </w:r>
      <w:r w:rsidR="00FE734B">
        <w:rPr>
          <w:lang w:val="en-US"/>
        </w:rPr>
        <w:lastRenderedPageBreak/>
        <w:t xml:space="preserve">Practically there is no information for collapsed large panel buildings from the same type as in the project. </w:t>
      </w:r>
    </w:p>
    <w:p w:rsidR="00706228" w:rsidRPr="0007008E" w:rsidRDefault="00706228" w:rsidP="009C4B11">
      <w:pPr>
        <w:pStyle w:val="-"/>
        <w:rPr>
          <w:lang w:val="en-US"/>
        </w:rPr>
      </w:pPr>
      <w:r>
        <w:rPr>
          <w:lang w:val="en-US"/>
        </w:rPr>
        <w:t>There is a special item “</w:t>
      </w:r>
      <w:r w:rsidRPr="00706228">
        <w:rPr>
          <w:lang w:val="en-US"/>
        </w:rPr>
        <w:t>Assumptions and limitations</w:t>
      </w:r>
      <w:r>
        <w:rPr>
          <w:lang w:val="en-US"/>
        </w:rPr>
        <w:t>”</w:t>
      </w:r>
      <w:r w:rsidR="00CD4E83">
        <w:rPr>
          <w:lang w:val="en-US"/>
        </w:rPr>
        <w:t xml:space="preserve"> with good explanation for chosen working hypothesis. All assumptions concerning the </w:t>
      </w:r>
      <w:r w:rsidR="00CD4E83" w:rsidRPr="00CD4E83">
        <w:rPr>
          <w:lang w:val="en-US"/>
        </w:rPr>
        <w:t>material strength</w:t>
      </w:r>
      <w:r w:rsidR="00CD4E83">
        <w:rPr>
          <w:lang w:val="en-US"/>
        </w:rPr>
        <w:t xml:space="preserve"> and quality of construction (</w:t>
      </w:r>
      <w:r w:rsidR="00CD4E83" w:rsidRPr="00CD4E83">
        <w:rPr>
          <w:lang w:val="en-US"/>
        </w:rPr>
        <w:t>average construction quality, lack of widespread material degradation processes in the dowels and lack of widespread unauthorized structural interventions</w:t>
      </w:r>
      <w:r w:rsidR="00CD4E83">
        <w:rPr>
          <w:lang w:val="en-US"/>
        </w:rPr>
        <w:t>) are reasonable. There is a</w:t>
      </w:r>
      <w:r w:rsidR="000045B5">
        <w:rPr>
          <w:lang w:val="en-US"/>
        </w:rPr>
        <w:t>n</w:t>
      </w:r>
      <w:r w:rsidR="00CD4E83">
        <w:rPr>
          <w:lang w:val="en-US"/>
        </w:rPr>
        <w:t xml:space="preserve"> attempt to analyze </w:t>
      </w:r>
      <w:r w:rsidR="00CD4E83" w:rsidRPr="00CD4E83">
        <w:rPr>
          <w:lang w:val="en-US"/>
        </w:rPr>
        <w:t>the effects of degraded conditions</w:t>
      </w:r>
      <w:r w:rsidR="00CD4E83">
        <w:rPr>
          <w:lang w:val="en-US"/>
        </w:rPr>
        <w:t xml:space="preserve">, which is good from practical point of view. </w:t>
      </w:r>
    </w:p>
    <w:p w:rsidR="00812A8D" w:rsidRPr="001717BA" w:rsidRDefault="001717BA" w:rsidP="009C4B11">
      <w:pPr>
        <w:pStyle w:val="-"/>
        <w:rPr>
          <w:lang w:val="en-US"/>
        </w:rPr>
      </w:pPr>
      <w:r>
        <w:rPr>
          <w:lang w:val="en-US"/>
        </w:rPr>
        <w:t xml:space="preserve">All assumptions concerning </w:t>
      </w:r>
      <w:r w:rsidRPr="000F3C97">
        <w:rPr>
          <w:szCs w:val="24"/>
        </w:rPr>
        <w:t>repair costs</w:t>
      </w:r>
      <w:r w:rsidR="008475A0">
        <w:rPr>
          <w:szCs w:val="24"/>
          <w:lang w:val="en-US"/>
        </w:rPr>
        <w:t xml:space="preserve"> are fully acceptable for situation in Bulgaria.</w:t>
      </w:r>
    </w:p>
    <w:p w:rsidR="00812A8D" w:rsidRDefault="00BC6D53" w:rsidP="009C4B11">
      <w:pPr>
        <w:pStyle w:val="-"/>
        <w:rPr>
          <w:lang w:val="en-US"/>
        </w:rPr>
      </w:pPr>
      <w:r w:rsidRPr="00BC6D53">
        <w:rPr>
          <w:lang w:val="en-US"/>
        </w:rPr>
        <w:t xml:space="preserve">The results of </w:t>
      </w:r>
      <w:r>
        <w:rPr>
          <w:lang w:val="en-US"/>
        </w:rPr>
        <w:t>p</w:t>
      </w:r>
      <w:r w:rsidRPr="00BC6D53">
        <w:rPr>
          <w:lang w:val="en-US"/>
        </w:rPr>
        <w:t xml:space="preserve">robabilistic </w:t>
      </w:r>
      <w:r>
        <w:rPr>
          <w:lang w:val="en-US"/>
        </w:rPr>
        <w:t>s</w:t>
      </w:r>
      <w:r w:rsidRPr="00BC6D53">
        <w:rPr>
          <w:lang w:val="en-US"/>
        </w:rPr>
        <w:t xml:space="preserve">eismic </w:t>
      </w:r>
      <w:r>
        <w:rPr>
          <w:lang w:val="en-US"/>
        </w:rPr>
        <w:t>r</w:t>
      </w:r>
      <w:r w:rsidRPr="00BC6D53">
        <w:rPr>
          <w:lang w:val="en-US"/>
        </w:rPr>
        <w:t xml:space="preserve">isk </w:t>
      </w:r>
      <w:r>
        <w:rPr>
          <w:lang w:val="en-US"/>
        </w:rPr>
        <w:t>a</w:t>
      </w:r>
      <w:r w:rsidRPr="00BC6D53">
        <w:rPr>
          <w:lang w:val="en-US"/>
        </w:rPr>
        <w:t>nalysis</w:t>
      </w:r>
      <w:r w:rsidRPr="00BC6D53">
        <w:rPr>
          <w:b/>
          <w:lang w:val="en-US"/>
        </w:rPr>
        <w:t xml:space="preserve"> </w:t>
      </w:r>
      <w:r w:rsidRPr="00BC6D53">
        <w:rPr>
          <w:lang w:val="en-US"/>
        </w:rPr>
        <w:t>confirm the high seismic resistance of the large panel buildings observed in past earthquakes.</w:t>
      </w:r>
      <w:r>
        <w:rPr>
          <w:lang w:val="en-US"/>
        </w:rPr>
        <w:t xml:space="preserve"> </w:t>
      </w:r>
      <w:r w:rsidR="000045B5">
        <w:rPr>
          <w:lang w:val="en-US"/>
        </w:rPr>
        <w:t>T</w:t>
      </w:r>
      <w:r w:rsidR="000045B5" w:rsidRPr="000045B5">
        <w:rPr>
          <w:lang w:val="en-US"/>
        </w:rPr>
        <w:t xml:space="preserve">he collapse risk is rather low, in the range of 0.1-0.6% for most of the territory of Bulgaria. </w:t>
      </w:r>
      <w:r w:rsidR="000045B5">
        <w:rPr>
          <w:lang w:val="en-US"/>
        </w:rPr>
        <w:t>Even for t</w:t>
      </w:r>
      <w:r w:rsidR="000045B5" w:rsidRPr="000045B5">
        <w:rPr>
          <w:lang w:val="en-US"/>
        </w:rPr>
        <w:t xml:space="preserve">he municipalities with highest collapse risk </w:t>
      </w:r>
      <w:r w:rsidR="000045B5">
        <w:rPr>
          <w:lang w:val="en-US"/>
        </w:rPr>
        <w:t>the valuev are</w:t>
      </w:r>
      <w:r w:rsidR="000045B5" w:rsidRPr="000045B5">
        <w:rPr>
          <w:lang w:val="en-US"/>
        </w:rPr>
        <w:t xml:space="preserve"> </w:t>
      </w:r>
      <w:r w:rsidR="000045B5">
        <w:rPr>
          <w:lang w:val="en-US"/>
        </w:rPr>
        <w:t xml:space="preserve">below 1% in 50 years. </w:t>
      </w:r>
    </w:p>
    <w:p w:rsidR="00970973" w:rsidRPr="00904926" w:rsidRDefault="00970973" w:rsidP="009C4B11">
      <w:pPr>
        <w:pStyle w:val="-"/>
      </w:pPr>
      <w:r w:rsidRPr="00970973">
        <w:rPr>
          <w:lang w:val="en-US"/>
        </w:rPr>
        <w:t>One important fact of this project is that</w:t>
      </w:r>
      <w:r>
        <w:rPr>
          <w:lang w:val="en-US"/>
        </w:rPr>
        <w:t xml:space="preserve"> </w:t>
      </w:r>
      <w:r w:rsidRPr="00970973">
        <w:rPr>
          <w:lang w:val="en-US"/>
        </w:rPr>
        <w:t>the seismic induced damage on large panel buildings can have significant socio-economic impact for the affected households.</w:t>
      </w:r>
      <w:r>
        <w:rPr>
          <w:lang w:val="en-US"/>
        </w:rPr>
        <w:t xml:space="preserve"> </w:t>
      </w:r>
      <w:r w:rsidR="00E524AF" w:rsidRPr="00E524AF">
        <w:rPr>
          <w:lang w:val="en-US"/>
        </w:rPr>
        <w:t xml:space="preserve">Sofia is the largest city in Bulgaria with a very </w:t>
      </w:r>
      <w:r w:rsidR="00E524AF">
        <w:rPr>
          <w:lang w:val="en-US"/>
        </w:rPr>
        <w:t>big</w:t>
      </w:r>
      <w:r w:rsidR="00E524AF" w:rsidRPr="00E524AF">
        <w:rPr>
          <w:lang w:val="en-US"/>
        </w:rPr>
        <w:t xml:space="preserve"> concentration of the population - informally over 2.</w:t>
      </w:r>
      <w:r w:rsidR="00E524AF">
        <w:rPr>
          <w:lang w:val="en-US"/>
        </w:rPr>
        <w:t>3</w:t>
      </w:r>
      <w:r w:rsidR="00E524AF" w:rsidRPr="00E524AF">
        <w:rPr>
          <w:lang w:val="en-US"/>
        </w:rPr>
        <w:t xml:space="preserve"> million people. That is why the results obtained are very important </w:t>
      </w:r>
      <w:r w:rsidR="00E524AF">
        <w:rPr>
          <w:lang w:val="en-US"/>
        </w:rPr>
        <w:t xml:space="preserve">for </w:t>
      </w:r>
      <w:r w:rsidR="00E524AF" w:rsidRPr="00E524AF">
        <w:rPr>
          <w:lang w:val="en-US"/>
        </w:rPr>
        <w:t>overall assessment</w:t>
      </w:r>
      <w:r w:rsidR="00E524AF">
        <w:rPr>
          <w:lang w:val="en-US"/>
        </w:rPr>
        <w:t xml:space="preserve"> - </w:t>
      </w:r>
      <w:r w:rsidR="00E524AF" w:rsidRPr="00E524AF">
        <w:rPr>
          <w:lang w:val="en-US"/>
        </w:rPr>
        <w:t xml:space="preserve">Sofia contains approximately </w:t>
      </w:r>
      <w:r w:rsidR="00E524AF" w:rsidRPr="00E524AF">
        <w:rPr>
          <w:lang w:val="bg"/>
        </w:rPr>
        <w:t xml:space="preserve">25% </w:t>
      </w:r>
      <w:r w:rsidR="00E524AF" w:rsidRPr="00E524AF">
        <w:rPr>
          <w:lang w:val="en-US"/>
        </w:rPr>
        <w:t xml:space="preserve">of the Bulgarian building stock of large panel buildings but contributes for more than </w:t>
      </w:r>
      <w:r w:rsidR="00E524AF" w:rsidRPr="00E524AF">
        <w:rPr>
          <w:lang w:val="bg"/>
        </w:rPr>
        <w:t xml:space="preserve">40% </w:t>
      </w:r>
      <w:r w:rsidR="00E524AF" w:rsidRPr="00E524AF">
        <w:rPr>
          <w:lang w:val="en-US"/>
        </w:rPr>
        <w:t xml:space="preserve">of the seismic induced direct monetary losses aggregated for Bulgaria. The mean monetary loss for a return period of </w:t>
      </w:r>
      <w:r w:rsidR="00E524AF" w:rsidRPr="00E524AF">
        <w:rPr>
          <w:lang w:val="bg"/>
        </w:rPr>
        <w:t xml:space="preserve">475 </w:t>
      </w:r>
      <w:r w:rsidR="00E524AF" w:rsidRPr="00E524AF">
        <w:rPr>
          <w:lang w:val="en-US"/>
        </w:rPr>
        <w:t xml:space="preserve">years is estimated to be </w:t>
      </w:r>
      <w:r w:rsidR="00E524AF" w:rsidRPr="00E524AF">
        <w:rPr>
          <w:lang w:val="bg"/>
        </w:rPr>
        <w:t xml:space="preserve">800 </w:t>
      </w:r>
      <w:r w:rsidR="00E524AF" w:rsidRPr="00E524AF">
        <w:rPr>
          <w:lang w:val="en-US"/>
        </w:rPr>
        <w:t xml:space="preserve">million Euro which is about </w:t>
      </w:r>
      <w:r w:rsidR="00E524AF" w:rsidRPr="00E524AF">
        <w:rPr>
          <w:lang w:val="bg"/>
        </w:rPr>
        <w:t xml:space="preserve">1.7% </w:t>
      </w:r>
      <w:r w:rsidR="00E524AF" w:rsidRPr="00E524AF">
        <w:rPr>
          <w:lang w:val="en-US"/>
        </w:rPr>
        <w:t>of the GDP of Bulgaria.</w:t>
      </w:r>
    </w:p>
    <w:p w:rsidR="00812A8D" w:rsidRDefault="00E109E0" w:rsidP="009C4B11">
      <w:pPr>
        <w:pStyle w:val="-"/>
        <w:rPr>
          <w:lang w:val="en-US"/>
        </w:rPr>
      </w:pPr>
      <w:r>
        <w:rPr>
          <w:lang w:val="en-US"/>
        </w:rPr>
        <w:t xml:space="preserve">The results for façade panels are valuable and </w:t>
      </w:r>
      <w:r w:rsidRPr="00E109E0">
        <w:rPr>
          <w:lang w:val="en-US"/>
        </w:rPr>
        <w:t>to some extent unexpected</w:t>
      </w:r>
      <w:r>
        <w:rPr>
          <w:lang w:val="en-US"/>
        </w:rPr>
        <w:t xml:space="preserve">. The </w:t>
      </w:r>
      <w:r w:rsidRPr="00E109E0">
        <w:rPr>
          <w:lang w:val="en-US"/>
        </w:rPr>
        <w:t>fa</w:t>
      </w:r>
      <w:r>
        <w:rPr>
          <w:lang w:val="en-US"/>
        </w:rPr>
        <w:t>c</w:t>
      </w:r>
      <w:r w:rsidRPr="00E109E0">
        <w:rPr>
          <w:lang w:val="en-US"/>
        </w:rPr>
        <w:t>ade damage can range from failure of individual panels on a single floor to failure of all panels on the fa</w:t>
      </w:r>
      <w:r>
        <w:rPr>
          <w:lang w:val="en-US"/>
        </w:rPr>
        <w:t>c</w:t>
      </w:r>
      <w:r w:rsidRPr="00E109E0">
        <w:rPr>
          <w:lang w:val="en-US"/>
        </w:rPr>
        <w:t>ade.</w:t>
      </w:r>
      <w:r>
        <w:rPr>
          <w:lang w:val="en-US"/>
        </w:rPr>
        <w:t xml:space="preserve"> </w:t>
      </w:r>
      <w:r w:rsidRPr="00E109E0">
        <w:rPr>
          <w:lang w:val="en-US"/>
        </w:rPr>
        <w:t>The probability of significant fa</w:t>
      </w:r>
      <w:r>
        <w:rPr>
          <w:lang w:val="en-US"/>
        </w:rPr>
        <w:t>c</w:t>
      </w:r>
      <w:r w:rsidRPr="00E109E0">
        <w:rPr>
          <w:lang w:val="en-US"/>
        </w:rPr>
        <w:t xml:space="preserve">ade damage is comparable to the probability for moderate structural damage, but the repair cost for the facades is expected to be higher if done properly. The monetary losses associated with damage on the facades at design earthquake level </w:t>
      </w:r>
      <w:r w:rsidRPr="00E109E0">
        <w:rPr>
          <w:lang w:val="bg"/>
        </w:rPr>
        <w:t xml:space="preserve">(10% </w:t>
      </w:r>
      <w:r w:rsidRPr="00E109E0">
        <w:rPr>
          <w:lang w:val="en-US"/>
        </w:rPr>
        <w:t xml:space="preserve">in </w:t>
      </w:r>
      <w:r w:rsidRPr="00E109E0">
        <w:rPr>
          <w:lang w:val="bg"/>
        </w:rPr>
        <w:t xml:space="preserve">50 </w:t>
      </w:r>
      <w:r w:rsidRPr="00E109E0">
        <w:rPr>
          <w:lang w:val="en-US"/>
        </w:rPr>
        <w:t xml:space="preserve">years) are estimated to be about </w:t>
      </w:r>
      <w:r w:rsidRPr="00E109E0">
        <w:rPr>
          <w:lang w:val="bg"/>
        </w:rPr>
        <w:t xml:space="preserve">40% </w:t>
      </w:r>
      <w:r w:rsidRPr="00E109E0">
        <w:rPr>
          <w:lang w:val="en-US"/>
        </w:rPr>
        <w:t>of the total direct monetary losses.</w:t>
      </w:r>
    </w:p>
    <w:p w:rsidR="0091456C" w:rsidRPr="0091456C" w:rsidRDefault="0091456C" w:rsidP="009C4B11">
      <w:pPr>
        <w:pStyle w:val="-"/>
        <w:rPr>
          <w:lang w:val="en-US"/>
        </w:rPr>
      </w:pPr>
      <w:r>
        <w:rPr>
          <w:lang w:val="en-US"/>
        </w:rPr>
        <w:t xml:space="preserve">The results from the project give the answer for the question: what is the most dangeros typology. </w:t>
      </w:r>
      <w:r w:rsidRPr="0091456C">
        <w:rPr>
          <w:lang w:val="en-US"/>
        </w:rPr>
        <w:t>This is done by disaggregating the expected monetary losses corresponding to a design basis earthquake for the riskiest cities to a structural architype level. The structural architype</w:t>
      </w:r>
      <w:r w:rsidRPr="0091456C">
        <w:rPr>
          <w:i/>
          <w:iCs/>
          <w:lang w:val="en-US"/>
        </w:rPr>
        <w:t xml:space="preserve"> Classics</w:t>
      </w:r>
      <w:r w:rsidRPr="0091456C">
        <w:rPr>
          <w:lang w:val="en-US"/>
        </w:rPr>
        <w:t xml:space="preserve"> in its high-rise version (above </w:t>
      </w:r>
      <w:r w:rsidRPr="0091456C">
        <w:rPr>
          <w:lang w:val="bg"/>
        </w:rPr>
        <w:t xml:space="preserve">6 </w:t>
      </w:r>
      <w:r w:rsidRPr="0091456C">
        <w:rPr>
          <w:lang w:val="en-US"/>
        </w:rPr>
        <w:t xml:space="preserve">floors) contributes for over </w:t>
      </w:r>
      <w:r w:rsidRPr="0091456C">
        <w:rPr>
          <w:lang w:val="bg"/>
        </w:rPr>
        <w:t xml:space="preserve">50% </w:t>
      </w:r>
      <w:r w:rsidRPr="0091456C">
        <w:rPr>
          <w:lang w:val="en-US"/>
        </w:rPr>
        <w:t xml:space="preserve">of the losses, with over </w:t>
      </w:r>
      <w:r w:rsidRPr="0091456C">
        <w:rPr>
          <w:lang w:val="bg"/>
        </w:rPr>
        <w:t xml:space="preserve">30% </w:t>
      </w:r>
      <w:r w:rsidRPr="0091456C">
        <w:rPr>
          <w:lang w:val="en-US"/>
        </w:rPr>
        <w:t>coming from the most common 8</w:t>
      </w:r>
      <w:r w:rsidRPr="0091456C">
        <w:rPr>
          <w:vertAlign w:val="superscript"/>
          <w:lang w:val="en-US"/>
        </w:rPr>
        <w:t>th</w:t>
      </w:r>
      <w:r w:rsidRPr="0091456C">
        <w:rPr>
          <w:lang w:val="en-US"/>
        </w:rPr>
        <w:t xml:space="preserve"> floor buildings. This architype includes the nomenclatures that are the most common large panel buildings in Bulgaria</w:t>
      </w:r>
      <w:r>
        <w:rPr>
          <w:lang w:val="en-US"/>
        </w:rPr>
        <w:t xml:space="preserve">. </w:t>
      </w:r>
      <w:r w:rsidRPr="0091456C">
        <w:rPr>
          <w:lang w:val="en-US"/>
        </w:rPr>
        <w:t>The main reason for the higher vulnerability of this structural typology is in the structural plan with only one wall in longitudinal direction which leads to reduced redundancy in the lateral load resistance system.</w:t>
      </w:r>
    </w:p>
    <w:p w:rsidR="00C4227C" w:rsidRPr="00C4227C" w:rsidRDefault="00541D3C" w:rsidP="009C4B11">
      <w:pPr>
        <w:pStyle w:val="-"/>
        <w:rPr>
          <w:lang w:val="en-US"/>
        </w:rPr>
      </w:pPr>
      <w:r w:rsidRPr="00541D3C">
        <w:rPr>
          <w:lang w:val="en-US"/>
        </w:rPr>
        <w:t xml:space="preserve">The key findings </w:t>
      </w:r>
      <w:r>
        <w:rPr>
          <w:lang w:val="en-US"/>
        </w:rPr>
        <w:t xml:space="preserve">in item 6.1 are fully acceptable, especially that </w:t>
      </w:r>
      <w:r w:rsidRPr="00541D3C">
        <w:rPr>
          <w:lang w:val="en-US"/>
        </w:rPr>
        <w:t>the Bulgarian large panel building typologies are expected to have low probability for collapse and for life threating injuries, being probably one of the safest buildings from life safety perspective.</w:t>
      </w:r>
      <w:r w:rsidR="00C4227C">
        <w:rPr>
          <w:lang w:val="en-US"/>
        </w:rPr>
        <w:t xml:space="preserve"> </w:t>
      </w:r>
      <w:r w:rsidR="00C4227C" w:rsidRPr="00C4227C">
        <w:rPr>
          <w:lang w:val="en-US"/>
        </w:rPr>
        <w:t>The direct monetary losses due to seismic induced damage from a "design" earthquake could be significant, and potentially very harmful for the financial stability of the city councils and the households of approximately one fifth of the Bulgarian municipalities. Direct monetary losses from damage on large panel buildings in Sofia from a design basis earthquake can be in the range of 1.5-2% of the GDP of Bulgaria.</w:t>
      </w:r>
    </w:p>
    <w:p w:rsidR="00541D3C" w:rsidRPr="00541D3C" w:rsidRDefault="00C4227C" w:rsidP="009C4B11">
      <w:pPr>
        <w:pStyle w:val="-"/>
        <w:rPr>
          <w:lang w:val="en-US"/>
        </w:rPr>
      </w:pPr>
      <w:r w:rsidRPr="00C4227C">
        <w:rPr>
          <w:lang w:val="en-US"/>
        </w:rPr>
        <w:t>Significant damage and out-of-plane failure of facade panels due to a "design" earthquake is considered a credible scenario. The contribution of the facade damage is estimated to be in the range of 30-50% of the total direct monetary losses.</w:t>
      </w:r>
      <w:r>
        <w:rPr>
          <w:lang w:val="en-US"/>
        </w:rPr>
        <w:t xml:space="preserve"> </w:t>
      </w:r>
      <w:r w:rsidRPr="00C4227C">
        <w:rPr>
          <w:lang w:val="en-US"/>
        </w:rPr>
        <w:t xml:space="preserve">So far no one in Bulgaria has paid much attention to the vulnerability of facade panels. It turns out that they </w:t>
      </w:r>
      <w:r>
        <w:rPr>
          <w:lang w:val="en-US"/>
        </w:rPr>
        <w:t>could</w:t>
      </w:r>
      <w:r w:rsidRPr="00C4227C">
        <w:rPr>
          <w:lang w:val="en-US"/>
        </w:rPr>
        <w:t xml:space="preserve"> not only cause significant economic losses, but also the invested funds under the rehabilitation</w:t>
      </w:r>
      <w:r w:rsidR="005C69C4">
        <w:rPr>
          <w:lang w:val="en-US"/>
        </w:rPr>
        <w:t xml:space="preserve"> (</w:t>
      </w:r>
      <w:r w:rsidR="005C69C4" w:rsidRPr="005C69C4">
        <w:rPr>
          <w:lang w:val="en-US"/>
        </w:rPr>
        <w:t>national energy efficiency program</w:t>
      </w:r>
      <w:r w:rsidR="005C69C4">
        <w:rPr>
          <w:lang w:val="en-US"/>
        </w:rPr>
        <w:t>)</w:t>
      </w:r>
      <w:r w:rsidRPr="00C4227C">
        <w:rPr>
          <w:lang w:val="en-US"/>
        </w:rPr>
        <w:t xml:space="preserve"> - the new window frames and the thermal insulation on the facades - are questioned.</w:t>
      </w:r>
    </w:p>
    <w:p w:rsidR="00582164" w:rsidRPr="00582164" w:rsidRDefault="00582164" w:rsidP="009C4B11">
      <w:pPr>
        <w:pStyle w:val="-"/>
        <w:rPr>
          <w:lang w:val="en-US"/>
        </w:rPr>
      </w:pPr>
      <w:r w:rsidRPr="00582164">
        <w:rPr>
          <w:lang w:val="en-US"/>
        </w:rPr>
        <w:t>Another important issue that has been addressed is</w:t>
      </w:r>
      <w:r>
        <w:rPr>
          <w:lang w:val="en-US"/>
        </w:rPr>
        <w:t xml:space="preserve"> aging. </w:t>
      </w:r>
      <w:r w:rsidRPr="00582164">
        <w:t xml:space="preserve">Large panel buildings are subjected to more rapid aging compared to classical reinforced concrete structures. In particular, the steel connections of the facade panels can be prone to accelerated corrosion. Sensitivity study of the </w:t>
      </w:r>
      <w:r w:rsidRPr="00582164">
        <w:lastRenderedPageBreak/>
        <w:t>effects of widespread corrosion of facade connections based on probabilistic seismic risk analysis of Sofia and Plovdiv shows that estimated monetary losses can increase with more than 40% from a design basis</w:t>
      </w:r>
      <w:r>
        <w:rPr>
          <w:lang w:val="en-US"/>
        </w:rPr>
        <w:t xml:space="preserve"> </w:t>
      </w:r>
      <w:r w:rsidRPr="00582164">
        <w:t>earthquake (475 years return period) and to double the expected loss from a smaller, but more likely to happen earthquake.</w:t>
      </w:r>
      <w:r>
        <w:rPr>
          <w:lang w:val="en-US"/>
        </w:rPr>
        <w:t xml:space="preserve"> </w:t>
      </w:r>
      <w:r w:rsidRPr="00582164">
        <w:rPr>
          <w:lang w:val="en-US"/>
        </w:rPr>
        <w:t xml:space="preserve">These results can serve as a motivation for organizing periodic inspection of the endangered </w:t>
      </w:r>
      <w:r>
        <w:rPr>
          <w:lang w:val="en-US"/>
        </w:rPr>
        <w:t>connections</w:t>
      </w:r>
      <w:r w:rsidRPr="00582164">
        <w:rPr>
          <w:lang w:val="en-US"/>
        </w:rPr>
        <w:t xml:space="preserve"> in the future and, if necessary, </w:t>
      </w:r>
      <w:r>
        <w:rPr>
          <w:lang w:val="en-US"/>
        </w:rPr>
        <w:t>to organize campaign for their upgrading</w:t>
      </w:r>
      <w:r w:rsidRPr="00582164">
        <w:rPr>
          <w:lang w:val="en-US"/>
        </w:rPr>
        <w:t>. Such preventive activity would obviously have a positive impact on seismic risk.</w:t>
      </w:r>
    </w:p>
    <w:p w:rsidR="0091456C" w:rsidRDefault="0091456C" w:rsidP="00F86B23">
      <w:pPr>
        <w:pStyle w:val="-"/>
        <w:rPr>
          <w:lang w:val="en-US"/>
        </w:rPr>
      </w:pPr>
    </w:p>
    <w:p w:rsidR="00A020B8" w:rsidRDefault="00A020B8" w:rsidP="009C4B11">
      <w:pPr>
        <w:pStyle w:val="-"/>
      </w:pPr>
      <w:r w:rsidRPr="00A020B8">
        <w:rPr>
          <w:b/>
          <w:i/>
          <w:u w:val="single"/>
          <w:lang w:val="en-US"/>
        </w:rPr>
        <w:t>Comment:</w:t>
      </w:r>
      <w:r>
        <w:rPr>
          <w:lang w:val="en-US"/>
        </w:rPr>
        <w:t xml:space="preserve"> </w:t>
      </w:r>
      <w:r w:rsidRPr="00A020B8">
        <w:rPr>
          <w:lang w:val="en-US"/>
        </w:rPr>
        <w:t xml:space="preserve">The number of victims and injured persons is given as a percentage of the total number of inhabitants of the city concerned, which makes interpretation of results somewhat difficult. There are also no maps of the spatial distribution of the injured people. Such maps typically apply to seismic risk projects because they carry important information </w:t>
      </w:r>
      <w:r w:rsidR="004A0122">
        <w:rPr>
          <w:lang w:val="en-US"/>
        </w:rPr>
        <w:t>for</w:t>
      </w:r>
      <w:r w:rsidRPr="00A020B8">
        <w:rPr>
          <w:lang w:val="en-US"/>
        </w:rPr>
        <w:t xml:space="preserve"> local authorities. Territorial distribution of the </w:t>
      </w:r>
      <w:r w:rsidR="004A0122" w:rsidRPr="004A0122">
        <w:rPr>
          <w:lang w:val="en-US"/>
        </w:rPr>
        <w:t xml:space="preserve">injured persons </w:t>
      </w:r>
      <w:r w:rsidRPr="00A020B8">
        <w:rPr>
          <w:lang w:val="en-US"/>
        </w:rPr>
        <w:t xml:space="preserve">makes it possible to quickly assess available capacities in the nearest hospitals and allow local authorities to </w:t>
      </w:r>
      <w:r w:rsidR="004A0122">
        <w:rPr>
          <w:lang w:val="en-US"/>
        </w:rPr>
        <w:t>plan</w:t>
      </w:r>
      <w:r w:rsidRPr="00A020B8">
        <w:rPr>
          <w:lang w:val="en-US"/>
        </w:rPr>
        <w:t xml:space="preserve"> measures for rapid and adequate response.</w:t>
      </w:r>
    </w:p>
    <w:p w:rsidR="001F3BCE" w:rsidRPr="001F3BCE" w:rsidRDefault="001F3BCE" w:rsidP="00F86B23">
      <w:pPr>
        <w:pStyle w:val="-"/>
        <w:rPr>
          <w:lang w:val="en-US"/>
        </w:rPr>
      </w:pPr>
    </w:p>
    <w:p w:rsidR="00C93856" w:rsidRDefault="00C93856" w:rsidP="00F86B23">
      <w:pPr>
        <w:pStyle w:val="M-1"/>
        <w:numPr>
          <w:ilvl w:val="0"/>
          <w:numId w:val="20"/>
        </w:numPr>
      </w:pPr>
      <w:bookmarkStart w:id="12" w:name="_Toc3297878"/>
      <w:r>
        <w:t xml:space="preserve">REVIEW OF </w:t>
      </w:r>
      <w:r w:rsidRPr="00D46151">
        <w:t xml:space="preserve">Component </w:t>
      </w:r>
      <w:r>
        <w:rPr>
          <w:lang w:val="bg-BG"/>
        </w:rPr>
        <w:t>5</w:t>
      </w:r>
      <w:r w:rsidRPr="00C93856">
        <w:rPr>
          <w:lang w:val="bg"/>
        </w:rPr>
        <w:t xml:space="preserve"> - </w:t>
      </w:r>
      <w:r w:rsidRPr="00C93856">
        <w:rPr>
          <w:lang w:val="bg-BG"/>
        </w:rPr>
        <w:t>Improvement of current Technical Audit templates in Bulgaria</w:t>
      </w:r>
      <w:bookmarkEnd w:id="12"/>
    </w:p>
    <w:p w:rsidR="00C92D58" w:rsidRPr="00C92D58" w:rsidRDefault="00C62C7D" w:rsidP="00973ED8">
      <w:pPr>
        <w:pStyle w:val="-"/>
        <w:rPr>
          <w:lang w:val="en-US"/>
        </w:rPr>
      </w:pPr>
      <w:r w:rsidRPr="00E52F0A">
        <w:rPr>
          <w:lang w:val="en-US"/>
        </w:rPr>
        <w:t xml:space="preserve">An in-depth analysis of the </w:t>
      </w:r>
      <w:r w:rsidR="0033054C">
        <w:rPr>
          <w:lang w:val="en-US"/>
        </w:rPr>
        <w:t>e</w:t>
      </w:r>
      <w:r w:rsidRPr="00E52F0A">
        <w:rPr>
          <w:lang w:val="en-US"/>
        </w:rPr>
        <w:t>xisting Technical Audit process</w:t>
      </w:r>
      <w:r w:rsidR="00E8141C">
        <w:rPr>
          <w:lang w:val="en-US"/>
        </w:rPr>
        <w:t xml:space="preserve"> in connection with the </w:t>
      </w:r>
      <w:r w:rsidR="007B5352" w:rsidRPr="007B5352">
        <w:rPr>
          <w:lang w:val="en-US" w:bidi="en-US"/>
        </w:rPr>
        <w:t>National Energy Efficiency Program</w:t>
      </w:r>
      <w:r w:rsidR="007B5352" w:rsidRPr="007B5352">
        <w:rPr>
          <w:lang w:val="en-US"/>
        </w:rPr>
        <w:t xml:space="preserve"> </w:t>
      </w:r>
      <w:r w:rsidR="007B5352">
        <w:rPr>
          <w:lang w:val="en-US"/>
        </w:rPr>
        <w:t>(</w:t>
      </w:r>
      <w:r w:rsidR="00E8141C">
        <w:rPr>
          <w:lang w:val="en-US"/>
        </w:rPr>
        <w:t>NEEP</w:t>
      </w:r>
      <w:r w:rsidR="007B5352">
        <w:rPr>
          <w:lang w:val="en-US"/>
        </w:rPr>
        <w:t>)</w:t>
      </w:r>
      <w:r w:rsidR="00E8141C">
        <w:rPr>
          <w:lang w:val="en-US"/>
        </w:rPr>
        <w:t xml:space="preserve"> </w:t>
      </w:r>
      <w:r w:rsidRPr="00E52F0A">
        <w:rPr>
          <w:lang w:val="en-US"/>
        </w:rPr>
        <w:t xml:space="preserve">has been carried out. The writing fully corresponds to the truth, which regrettably puts the </w:t>
      </w:r>
      <w:r>
        <w:rPr>
          <w:lang w:val="en-US"/>
        </w:rPr>
        <w:t>question</w:t>
      </w:r>
      <w:r w:rsidRPr="00E52F0A">
        <w:rPr>
          <w:lang w:val="en-US"/>
        </w:rPr>
        <w:t xml:space="preserve"> of seismic sustainability largely formal and with a preliminary </w:t>
      </w:r>
      <w:r>
        <w:rPr>
          <w:lang w:val="en-US"/>
        </w:rPr>
        <w:t>known answer</w:t>
      </w:r>
      <w:r w:rsidRPr="00E52F0A">
        <w:rPr>
          <w:lang w:val="en-US"/>
        </w:rPr>
        <w:t>.</w:t>
      </w:r>
      <w:r w:rsidR="00E52F0A">
        <w:rPr>
          <w:lang w:val="en-US"/>
        </w:rPr>
        <w:t xml:space="preserve"> </w:t>
      </w:r>
      <w:r w:rsidR="00E52F0A" w:rsidRPr="00E52F0A">
        <w:rPr>
          <w:lang w:val="en-US"/>
        </w:rPr>
        <w:t>The Technical Audit template requires assessment of the seismic safety of the audited building, but there is no accompanying official manual or guideline for implementation.</w:t>
      </w:r>
      <w:r w:rsidR="00C92D58">
        <w:rPr>
          <w:lang w:val="en-US"/>
        </w:rPr>
        <w:t xml:space="preserve"> </w:t>
      </w:r>
      <w:r w:rsidR="00C92D58" w:rsidRPr="00C92D58">
        <w:rPr>
          <w:lang w:val="en-US"/>
        </w:rPr>
        <w:t>Large-panel buildings are not covered by any specific guideline for implementation of the technical audit.</w:t>
      </w:r>
      <w:r w:rsidR="00A003F9">
        <w:rPr>
          <w:lang w:val="en-US"/>
        </w:rPr>
        <w:t xml:space="preserve"> </w:t>
      </w:r>
    </w:p>
    <w:p w:rsidR="00E52F0A" w:rsidRPr="00E52F0A" w:rsidRDefault="00A003F9" w:rsidP="00973ED8">
      <w:pPr>
        <w:pStyle w:val="-"/>
        <w:rPr>
          <w:lang w:val="en-US"/>
        </w:rPr>
      </w:pPr>
      <w:r>
        <w:rPr>
          <w:lang w:val="en-US" w:bidi="en-US"/>
        </w:rPr>
        <w:t>T</w:t>
      </w:r>
      <w:r w:rsidRPr="00A003F9">
        <w:rPr>
          <w:lang w:val="en-US" w:bidi="en-US"/>
        </w:rPr>
        <w:t>here is no dedicated national entity that has the capability and capacity to control the quality the structural assessment component of the Technical Audit</w:t>
      </w:r>
      <w:r>
        <w:rPr>
          <w:lang w:val="en-US" w:bidi="en-US"/>
        </w:rPr>
        <w:t xml:space="preserve"> (TA)</w:t>
      </w:r>
      <w:r w:rsidRPr="00A003F9">
        <w:rPr>
          <w:lang w:val="en-US" w:bidi="en-US"/>
        </w:rPr>
        <w:t xml:space="preserve"> and the consistency between the TAs over the country.</w:t>
      </w:r>
    </w:p>
    <w:p w:rsidR="004B7AEA" w:rsidRDefault="004B7AEA" w:rsidP="00973ED8">
      <w:pPr>
        <w:pStyle w:val="-"/>
        <w:rPr>
          <w:lang w:val="en-US" w:bidi="en-US"/>
        </w:rPr>
      </w:pPr>
      <w:r>
        <w:rPr>
          <w:lang w:val="en-US" w:bidi="en-US"/>
        </w:rPr>
        <w:t xml:space="preserve">The statement </w:t>
      </w:r>
      <w:r w:rsidRPr="004B7AEA">
        <w:rPr>
          <w:lang w:val="en-US" w:bidi="en-US"/>
        </w:rPr>
        <w:t>that the current procedures in Bulgaria for seismic assessment of structures are ineffective and incomplete and do not provide a consistent overall methodology for evaluation of the vulnerability of seismically deficient structures, which includes also the large-panel residential buildings</w:t>
      </w:r>
      <w:r>
        <w:rPr>
          <w:lang w:val="en-US" w:bidi="en-US"/>
        </w:rPr>
        <w:t xml:space="preserve">, is correct. </w:t>
      </w:r>
    </w:p>
    <w:p w:rsidR="004B7AEA" w:rsidRPr="00E52F0A" w:rsidRDefault="004B7AEA" w:rsidP="00973ED8">
      <w:pPr>
        <w:pStyle w:val="-"/>
        <w:rPr>
          <w:lang w:val="en-US"/>
        </w:rPr>
      </w:pPr>
      <w:r>
        <w:rPr>
          <w:lang w:val="en-US" w:bidi="en-US"/>
        </w:rPr>
        <w:t xml:space="preserve">In the report is very well explained that </w:t>
      </w:r>
      <w:r w:rsidR="00AE0B50" w:rsidRPr="00AE0B50">
        <w:rPr>
          <w:lang w:val="en-US" w:bidi="en-US"/>
        </w:rPr>
        <w:t xml:space="preserve">Ordinance N°5 for Technical Audit and Passportization of buildings </w:t>
      </w:r>
      <w:r w:rsidR="00AE0B50" w:rsidRPr="00AE0B50">
        <w:rPr>
          <w:lang w:val="en-US" w:bidi="bg-BG"/>
        </w:rPr>
        <w:t xml:space="preserve">(Наредба </w:t>
      </w:r>
      <w:r w:rsidR="00AE0B50" w:rsidRPr="00AE0B50">
        <w:rPr>
          <w:lang w:val="en-US" w:bidi="en-US"/>
        </w:rPr>
        <w:t xml:space="preserve">N5, 23.01.2007) contains a chapter with provisions for assessment of the conditions of existing buildings, in which a clause addresses the structural seismic resistance by comparing two very ambiguous and meagre parameters - </w:t>
      </w:r>
      <w:r w:rsidR="00AE0B50" w:rsidRPr="00AE0B50">
        <w:rPr>
          <w:bCs/>
          <w:iCs/>
          <w:lang w:val="en-US" w:bidi="en-US"/>
        </w:rPr>
        <w:t>“actual structural capacity”</w:t>
      </w:r>
      <w:r w:rsidR="00AE0B50" w:rsidRPr="00AE0B50">
        <w:rPr>
          <w:lang w:val="en-US" w:bidi="en-US"/>
        </w:rPr>
        <w:t xml:space="preserve"> and </w:t>
      </w:r>
      <w:r w:rsidR="00AE0B50" w:rsidRPr="00AE0B50">
        <w:rPr>
          <w:bCs/>
          <w:iCs/>
          <w:lang w:val="en-US" w:bidi="en-US"/>
        </w:rPr>
        <w:t>“reference nominal structural capacity”.</w:t>
      </w:r>
      <w:r w:rsidR="00AE0B50">
        <w:rPr>
          <w:bCs/>
          <w:iCs/>
          <w:lang w:val="en-US" w:bidi="en-US"/>
        </w:rPr>
        <w:t xml:space="preserve"> This fact confirms the statement that seismic savety</w:t>
      </w:r>
      <w:r w:rsidR="002400D4">
        <w:rPr>
          <w:bCs/>
          <w:iCs/>
          <w:lang w:val="en-US" w:bidi="en-US"/>
        </w:rPr>
        <w:t xml:space="preserve"> is not a “priority issue” in this document.</w:t>
      </w:r>
    </w:p>
    <w:p w:rsidR="00C93856" w:rsidRPr="002400D4" w:rsidRDefault="007F0507" w:rsidP="00973ED8">
      <w:pPr>
        <w:pStyle w:val="-"/>
        <w:rPr>
          <w:lang w:val="en-US"/>
        </w:rPr>
      </w:pPr>
      <w:r w:rsidRPr="007F0507">
        <w:rPr>
          <w:lang w:bidi="en-US"/>
        </w:rPr>
        <w:t xml:space="preserve">The objective of </w:t>
      </w:r>
      <w:r>
        <w:rPr>
          <w:lang w:val="en-US" w:bidi="en-US"/>
        </w:rPr>
        <w:t>component</w:t>
      </w:r>
      <w:r w:rsidRPr="007F0507">
        <w:rPr>
          <w:lang w:bidi="en-US"/>
        </w:rPr>
        <w:t xml:space="preserve"> </w:t>
      </w:r>
      <w:r w:rsidR="002400D4">
        <w:rPr>
          <w:lang w:val="en-US" w:bidi="en-US"/>
        </w:rPr>
        <w:t xml:space="preserve">5 </w:t>
      </w:r>
      <w:r w:rsidRPr="007F0507">
        <w:rPr>
          <w:lang w:bidi="en-US"/>
        </w:rPr>
        <w:t xml:space="preserve">is to make pragmatic recommendations for the improvement and extension of the current technical audit process as an tool for preliminary seismic assessment of the structure and the non-structural components of </w:t>
      </w:r>
      <w:r w:rsidR="002400D4">
        <w:rPr>
          <w:lang w:val="en-US" w:bidi="en-US"/>
        </w:rPr>
        <w:t>large panel buildings (LPBs).</w:t>
      </w:r>
    </w:p>
    <w:p w:rsidR="00C93856" w:rsidRDefault="00FD6054" w:rsidP="00973ED8">
      <w:pPr>
        <w:pStyle w:val="-"/>
        <w:rPr>
          <w:lang w:val="en-US" w:bidi="en-US"/>
        </w:rPr>
      </w:pPr>
      <w:r w:rsidRPr="00FD6054">
        <w:rPr>
          <w:lang w:bidi="en-US"/>
        </w:rPr>
        <w:t xml:space="preserve">Special attention </w:t>
      </w:r>
      <w:r>
        <w:rPr>
          <w:lang w:val="en-US" w:bidi="en-US"/>
        </w:rPr>
        <w:t>is</w:t>
      </w:r>
      <w:r w:rsidRPr="00FD6054">
        <w:rPr>
          <w:lang w:bidi="en-US"/>
        </w:rPr>
        <w:t xml:space="preserve"> paid to the applicability of a simplified Rapid Visual Screening RVS procedure, which would not require detailed engineering analysis and specialised computation.</w:t>
      </w:r>
      <w:r w:rsidR="0026778F">
        <w:rPr>
          <w:lang w:val="en-US" w:bidi="en-US"/>
        </w:rPr>
        <w:t xml:space="preserve"> This procedure is important because of:</w:t>
      </w:r>
    </w:p>
    <w:p w:rsidR="0026778F" w:rsidRDefault="0026778F" w:rsidP="00973ED8">
      <w:pPr>
        <w:pStyle w:val="-"/>
        <w:numPr>
          <w:ilvl w:val="0"/>
          <w:numId w:val="32"/>
        </w:numPr>
        <w:spacing w:after="60"/>
        <w:ind w:left="1570" w:hanging="357"/>
        <w:rPr>
          <w:lang w:val="en-US"/>
        </w:rPr>
      </w:pPr>
      <w:r>
        <w:rPr>
          <w:lang w:val="en-US"/>
        </w:rPr>
        <w:t>The engineers do not have suitable software for realistic seismic analysis of panel buildings. Widely used comersial software is not able to account the most significant features of panel building (the discontinuity of shear walls and work of joints);</w:t>
      </w:r>
    </w:p>
    <w:p w:rsidR="0026778F" w:rsidRPr="0026778F" w:rsidRDefault="0026778F" w:rsidP="00973ED8">
      <w:pPr>
        <w:pStyle w:val="-"/>
        <w:numPr>
          <w:ilvl w:val="0"/>
          <w:numId w:val="32"/>
        </w:numPr>
        <w:spacing w:after="60"/>
        <w:ind w:left="1570" w:hanging="357"/>
        <w:rPr>
          <w:lang w:val="en-US"/>
        </w:rPr>
      </w:pPr>
      <w:r w:rsidRPr="0026778F">
        <w:rPr>
          <w:lang w:val="en-US"/>
        </w:rPr>
        <w:t xml:space="preserve">The reality is that a large number of buildings </w:t>
      </w:r>
      <w:r>
        <w:rPr>
          <w:lang w:val="en-US"/>
        </w:rPr>
        <w:t>must be</w:t>
      </w:r>
      <w:r w:rsidRPr="0026778F">
        <w:rPr>
          <w:lang w:val="en-US"/>
        </w:rPr>
        <w:t xml:space="preserve"> rapidly assessed</w:t>
      </w:r>
      <w:r>
        <w:rPr>
          <w:lang w:val="en-US"/>
        </w:rPr>
        <w:t xml:space="preserve"> (like campaign with NEEP). </w:t>
      </w:r>
      <w:r w:rsidR="00944E83">
        <w:rPr>
          <w:lang w:val="en-US"/>
        </w:rPr>
        <w:t>It is not possible to make assessment for a very long period of time.</w:t>
      </w:r>
    </w:p>
    <w:p w:rsidR="00C4393D" w:rsidRPr="00C4393D" w:rsidRDefault="00C4393D" w:rsidP="00973ED8">
      <w:pPr>
        <w:pStyle w:val="-"/>
        <w:rPr>
          <w:lang w:bidi="en-US"/>
        </w:rPr>
      </w:pPr>
      <w:r w:rsidRPr="00C4393D">
        <w:rPr>
          <w:lang w:bidi="en-US"/>
        </w:rPr>
        <w:lastRenderedPageBreak/>
        <w:t xml:space="preserve">The findings in the project establish the basis for the development of such a procedure. In view of the possibility for the integration of the screening (rating) process and interventions for pre-earthquake structural improvements into the on-going NEEP, the suggested measures </w:t>
      </w:r>
      <w:r>
        <w:rPr>
          <w:lang w:val="en-US" w:bidi="en-US"/>
        </w:rPr>
        <w:t>are</w:t>
      </w:r>
      <w:r w:rsidRPr="00C4393D">
        <w:rPr>
          <w:lang w:bidi="en-US"/>
        </w:rPr>
        <w:t xml:space="preserve"> classified into short-term and long-term recommendations.</w:t>
      </w:r>
    </w:p>
    <w:p w:rsidR="00A16AA8" w:rsidRPr="00A16AA8" w:rsidRDefault="004C2684" w:rsidP="00973ED8">
      <w:pPr>
        <w:pStyle w:val="-"/>
        <w:rPr>
          <w:lang w:val="en-US" w:bidi="en-US"/>
        </w:rPr>
      </w:pPr>
      <w:r w:rsidRPr="004C2684">
        <w:rPr>
          <w:lang w:val="en-US" w:bidi="en-US"/>
        </w:rPr>
        <w:t>The authors correctly concluded that</w:t>
      </w:r>
      <w:r>
        <w:rPr>
          <w:lang w:val="en-US" w:bidi="en-US"/>
        </w:rPr>
        <w:t xml:space="preserve"> t</w:t>
      </w:r>
      <w:r w:rsidRPr="004C2684">
        <w:rPr>
          <w:lang w:val="en-US" w:bidi="en-US"/>
        </w:rPr>
        <w:t>he main sources for potential deficiencies and deviations in the material quality are attributed to the dowels and the facade connections which are based on in situ labour.</w:t>
      </w:r>
      <w:r w:rsidR="00A16AA8">
        <w:rPr>
          <w:lang w:val="en-US" w:bidi="en-US"/>
        </w:rPr>
        <w:t xml:space="preserve"> T</w:t>
      </w:r>
      <w:r w:rsidR="00A16AA8" w:rsidRPr="00A16AA8">
        <w:rPr>
          <w:lang w:val="en-US" w:bidi="en-US"/>
        </w:rPr>
        <w:t>he following aspect</w:t>
      </w:r>
      <w:r w:rsidR="00A16AA8">
        <w:rPr>
          <w:lang w:val="en-US" w:bidi="en-US"/>
        </w:rPr>
        <w:t>s</w:t>
      </w:r>
      <w:r w:rsidR="00A16AA8" w:rsidRPr="00A16AA8">
        <w:rPr>
          <w:lang w:val="en-US" w:bidi="en-US"/>
        </w:rPr>
        <w:t xml:space="preserve"> of large panel buildings are not addressed in the current Technical Audit process:</w:t>
      </w:r>
      <w:r w:rsidR="00A16AA8">
        <w:rPr>
          <w:lang w:val="en-US" w:bidi="en-US"/>
        </w:rPr>
        <w:t xml:space="preserve"> s</w:t>
      </w:r>
      <w:r w:rsidR="00A16AA8" w:rsidRPr="00A16AA8">
        <w:rPr>
          <w:lang w:val="en-US" w:bidi="en-US"/>
        </w:rPr>
        <w:t>pecification of types and minimum number of tests to assess concrete quality, concrete strength, reinforcement quantity and potential</w:t>
      </w:r>
      <w:r w:rsidR="00A16AA8">
        <w:rPr>
          <w:lang w:val="en-US" w:bidi="en-US"/>
        </w:rPr>
        <w:t xml:space="preserve"> corrosion in rebars for dowels and </w:t>
      </w:r>
      <w:r w:rsidR="00A16AA8" w:rsidRPr="00A16AA8">
        <w:rPr>
          <w:lang w:val="en-US" w:bidi="en-US"/>
        </w:rPr>
        <w:t>material properties and potential corrosion in facade connections.</w:t>
      </w:r>
    </w:p>
    <w:p w:rsidR="00B10F46" w:rsidRPr="00B10F46" w:rsidRDefault="00B10F46" w:rsidP="00973ED8">
      <w:pPr>
        <w:pStyle w:val="-"/>
        <w:rPr>
          <w:lang w:val="en-US" w:bidi="en-US"/>
        </w:rPr>
      </w:pPr>
      <w:r w:rsidRPr="00B10F46">
        <w:rPr>
          <w:lang w:val="en-US" w:bidi="en-US"/>
        </w:rPr>
        <w:t>The relation between all stakeholders in NEEP is clarified very well and the conclusion is that structural engineers do not have other option except for positive seismic safety assessment.</w:t>
      </w:r>
    </w:p>
    <w:p w:rsidR="00543158" w:rsidRPr="00543158" w:rsidRDefault="00543158" w:rsidP="00973ED8">
      <w:pPr>
        <w:pStyle w:val="-"/>
        <w:rPr>
          <w:lang w:bidi="en-US"/>
        </w:rPr>
      </w:pPr>
      <w:r w:rsidRPr="00543158">
        <w:rPr>
          <w:lang w:bidi="en-US"/>
        </w:rPr>
        <w:t>The regulatory analysis (mainly Ordinance 2, Ordinance 5 and Eurocode 8) rightly concludes with the conclusion that there is currently no clear and unambiguous procedure to legally regulate the seismic assessment of existing buildings (in particular large-panel buildings).</w:t>
      </w:r>
    </w:p>
    <w:p w:rsidR="004C2684" w:rsidRDefault="0032778D" w:rsidP="00973ED8">
      <w:pPr>
        <w:pStyle w:val="-"/>
        <w:rPr>
          <w:lang w:val="en-US" w:bidi="en-US"/>
        </w:rPr>
      </w:pPr>
      <w:r>
        <w:rPr>
          <w:lang w:val="en-US" w:bidi="en-US"/>
        </w:rPr>
        <w:t xml:space="preserve">An important conclusion </w:t>
      </w:r>
      <w:r w:rsidR="003F766F">
        <w:rPr>
          <w:lang w:val="en-US" w:bidi="en-US"/>
        </w:rPr>
        <w:t xml:space="preserve">is that </w:t>
      </w:r>
      <w:r>
        <w:rPr>
          <w:lang w:val="en-US" w:bidi="en-US"/>
        </w:rPr>
        <w:t>t</w:t>
      </w:r>
      <w:r w:rsidRPr="0032778D">
        <w:rPr>
          <w:lang w:val="en-US" w:bidi="en-US"/>
        </w:rPr>
        <w:t xml:space="preserve">he significant </w:t>
      </w:r>
      <w:r>
        <w:rPr>
          <w:lang w:val="en-US" w:bidi="en-US"/>
        </w:rPr>
        <w:t xml:space="preserve">defect </w:t>
      </w:r>
      <w:r w:rsidRPr="0032778D">
        <w:rPr>
          <w:lang w:val="en-US" w:bidi="en-US"/>
        </w:rPr>
        <w:t>of Ordinance N2 are Art.5 and Art. 6, related to seismic assessment of existing buildings, which allow for a “positive seismic safety grading/assessment” if the structure complies with the historical design codes at the time of construction.</w:t>
      </w:r>
      <w:r w:rsidR="00D06004">
        <w:rPr>
          <w:lang w:val="en-US" w:bidi="en-US"/>
        </w:rPr>
        <w:t xml:space="preserve"> </w:t>
      </w:r>
    </w:p>
    <w:p w:rsidR="00D06004" w:rsidRDefault="00D06004" w:rsidP="00973ED8">
      <w:pPr>
        <w:pStyle w:val="-"/>
        <w:rPr>
          <w:lang w:val="en-US" w:bidi="en-US"/>
        </w:rPr>
      </w:pPr>
      <w:r w:rsidRPr="00D06004">
        <w:rPr>
          <w:lang w:val="en-US" w:bidi="en-US"/>
        </w:rPr>
        <w:t xml:space="preserve">The current generation of Eurocode 8, Part 3 is also rather </w:t>
      </w:r>
      <w:r>
        <w:rPr>
          <w:lang w:val="en-US" w:bidi="en-US"/>
        </w:rPr>
        <w:t xml:space="preserve">difficult </w:t>
      </w:r>
      <w:r w:rsidRPr="00D06004">
        <w:rPr>
          <w:lang w:val="en-US" w:bidi="en-US"/>
        </w:rPr>
        <w:t>for direct applicat</w:t>
      </w:r>
      <w:r>
        <w:rPr>
          <w:lang w:val="en-US" w:bidi="en-US"/>
        </w:rPr>
        <w:t>ion. According to available information this part will be signicantly improved in the second generation of Eurocode 8.</w:t>
      </w:r>
    </w:p>
    <w:p w:rsidR="0005392D" w:rsidRPr="0005392D" w:rsidRDefault="00DB35CA" w:rsidP="00973ED8">
      <w:pPr>
        <w:pStyle w:val="-"/>
        <w:rPr>
          <w:lang w:val="en-US" w:bidi="en-US"/>
        </w:rPr>
      </w:pPr>
      <w:r w:rsidRPr="00DB35CA">
        <w:rPr>
          <w:lang w:bidi="en-US"/>
        </w:rPr>
        <w:t xml:space="preserve">Examples of best international practice </w:t>
      </w:r>
      <w:r w:rsidRPr="00DB35CA">
        <w:rPr>
          <w:lang w:val="en-US" w:bidi="en-US"/>
        </w:rPr>
        <w:t>are</w:t>
      </w:r>
      <w:r w:rsidRPr="00DB35CA">
        <w:rPr>
          <w:lang w:bidi="en-US"/>
        </w:rPr>
        <w:t xml:space="preserve"> reviewed</w:t>
      </w:r>
      <w:r w:rsidRPr="00DB35CA">
        <w:rPr>
          <w:lang w:val="en-US" w:bidi="en-US"/>
        </w:rPr>
        <w:t xml:space="preserve"> in the component 5</w:t>
      </w:r>
      <w:r w:rsidRPr="00DB35CA">
        <w:rPr>
          <w:lang w:bidi="en-US"/>
        </w:rPr>
        <w:t xml:space="preserve"> for useful ideas that could be adapted and implemented.</w:t>
      </w:r>
      <w:r w:rsidRPr="00DB35CA">
        <w:rPr>
          <w:lang w:val="en-US" w:bidi="en-US"/>
        </w:rPr>
        <w:t xml:space="preserve"> Obviously the working team spend a lot of time to study and summarize these procedures, having in mind the situation in the country, code base and usual practice. </w:t>
      </w:r>
      <w:r>
        <w:rPr>
          <w:lang w:val="en-US" w:bidi="en-US"/>
        </w:rPr>
        <w:t xml:space="preserve">The final conclusion is that </w:t>
      </w:r>
      <w:r w:rsidRPr="00DB35CA">
        <w:rPr>
          <w:lang w:val="en-US" w:bidi="en-US"/>
        </w:rPr>
        <w:t xml:space="preserve">none of the documents reviewed can be directly applied to the seismic assessment of </w:t>
      </w:r>
      <w:r>
        <w:rPr>
          <w:lang w:val="en-US" w:bidi="en-US"/>
        </w:rPr>
        <w:t>panel buildings</w:t>
      </w:r>
      <w:r w:rsidRPr="00DB35CA">
        <w:rPr>
          <w:lang w:val="en-US" w:bidi="en-US"/>
        </w:rPr>
        <w:t>, simply because such structural types are not addressed at all.</w:t>
      </w:r>
      <w:r w:rsidR="0005392D">
        <w:rPr>
          <w:lang w:val="en-US" w:bidi="en-US"/>
        </w:rPr>
        <w:t xml:space="preserve"> </w:t>
      </w:r>
      <w:r w:rsidR="0005392D" w:rsidRPr="0005392D">
        <w:rPr>
          <w:lang w:val="en-US" w:bidi="en-US"/>
        </w:rPr>
        <w:t>Even though the official guidelines or standards specifically developed to analyze the seismic vulnerability of large panel buildings are not found, some ideas from c FEMA P-154 RVS and ASCE 41-31 could be used as the starting point for the development of such procedure.</w:t>
      </w:r>
    </w:p>
    <w:p w:rsidR="00A074C6" w:rsidRDefault="00A074C6" w:rsidP="00973ED8">
      <w:pPr>
        <w:pStyle w:val="-"/>
        <w:rPr>
          <w:lang w:bidi="en-US"/>
        </w:rPr>
      </w:pPr>
      <w:r w:rsidRPr="00A074C6">
        <w:rPr>
          <w:lang w:bidi="en-US"/>
        </w:rPr>
        <w:t xml:space="preserve">After careful consideration of all collected information, the authors </w:t>
      </w:r>
      <w:r w:rsidR="006A1F87">
        <w:rPr>
          <w:lang w:val="en-US" w:bidi="en-US"/>
        </w:rPr>
        <w:t xml:space="preserve">are </w:t>
      </w:r>
      <w:r w:rsidRPr="00A074C6">
        <w:rPr>
          <w:lang w:bidi="en-US"/>
        </w:rPr>
        <w:t>formulate</w:t>
      </w:r>
      <w:r w:rsidR="006A1F87">
        <w:rPr>
          <w:lang w:val="en-US" w:bidi="en-US"/>
        </w:rPr>
        <w:t>d</w:t>
      </w:r>
      <w:r w:rsidRPr="00A074C6">
        <w:rPr>
          <w:lang w:bidi="en-US"/>
        </w:rPr>
        <w:t xml:space="preserve"> three main </w:t>
      </w:r>
      <w:r w:rsidR="00BA02C2">
        <w:rPr>
          <w:lang w:val="en-US" w:bidi="en-US"/>
        </w:rPr>
        <w:t>directions</w:t>
      </w:r>
      <w:r w:rsidRPr="00A074C6">
        <w:rPr>
          <w:lang w:bidi="en-US"/>
        </w:rPr>
        <w:t xml:space="preserve"> for practical action:</w:t>
      </w:r>
      <w:r>
        <w:rPr>
          <w:lang w:bidi="en-US"/>
        </w:rPr>
        <w:t xml:space="preserve"> </w:t>
      </w:r>
      <w:r w:rsidR="00BA02C2">
        <w:rPr>
          <w:lang w:val="en-US" w:bidi="en-US"/>
        </w:rPr>
        <w:t>s</w:t>
      </w:r>
      <w:r w:rsidR="00BA02C2">
        <w:rPr>
          <w:lang w:bidi="en-US"/>
        </w:rPr>
        <w:t xml:space="preserve">trengthening the organisational capacity and control of the technical audit process, </w:t>
      </w:r>
      <w:r w:rsidR="00BA02C2">
        <w:rPr>
          <w:lang w:val="en-US" w:bidi="en-US"/>
        </w:rPr>
        <w:t>i</w:t>
      </w:r>
      <w:r w:rsidR="00BA02C2">
        <w:rPr>
          <w:lang w:bidi="en-US"/>
        </w:rPr>
        <w:t xml:space="preserve">mprovement of the technical audit template </w:t>
      </w:r>
      <w:r w:rsidR="00BA02C2">
        <w:rPr>
          <w:lang w:val="en-US" w:bidi="en-US"/>
        </w:rPr>
        <w:t>and s</w:t>
      </w:r>
      <w:r w:rsidR="00BA02C2">
        <w:rPr>
          <w:lang w:bidi="en-US"/>
        </w:rPr>
        <w:t>trengthening the regulatory environment by developing structural design codes and guidelines to support seismic assessment of existing buildings</w:t>
      </w:r>
      <w:r w:rsidR="00BA02C2">
        <w:rPr>
          <w:lang w:val="en-US" w:bidi="en-US"/>
        </w:rPr>
        <w:t>.</w:t>
      </w:r>
      <w:r w:rsidR="00BA15E7" w:rsidRPr="00BA15E7">
        <w:rPr>
          <w:lang w:val="en-US" w:bidi="en-US"/>
        </w:rPr>
        <w:t xml:space="preserve"> The main aspect of the recommended change is the introduction of Project Management Unit (PMU) </w:t>
      </w:r>
      <w:r w:rsidR="00BA15E7" w:rsidRPr="00BA15E7">
        <w:rPr>
          <w:lang w:val="en-US" w:bidi="bg-BG"/>
        </w:rPr>
        <w:t xml:space="preserve">/ </w:t>
      </w:r>
      <w:r w:rsidR="00BA15E7" w:rsidRPr="00BA15E7">
        <w:rPr>
          <w:lang w:val="en-US" w:bidi="en-US"/>
        </w:rPr>
        <w:t>Project Implementation Unit (PIU) or a Technical Support Organisation (TSO) contracted directly from the Bulgarian Development Bank that will provide quality control of the technical audit and will trigger the</w:t>
      </w:r>
      <w:r w:rsidR="00BA15E7">
        <w:rPr>
          <w:lang w:val="en-US" w:bidi="en-US"/>
        </w:rPr>
        <w:t xml:space="preserve"> </w:t>
      </w:r>
      <w:r w:rsidR="00BA15E7" w:rsidRPr="00BA15E7">
        <w:rPr>
          <w:lang w:val="en-US" w:bidi="en-US"/>
        </w:rPr>
        <w:t>payment based on approval of the service.</w:t>
      </w:r>
      <w:r w:rsidR="00BA15E7">
        <w:rPr>
          <w:lang w:val="en-US" w:bidi="en-US"/>
        </w:rPr>
        <w:t xml:space="preserve"> This suggestion can be assessed as good and </w:t>
      </w:r>
      <w:r w:rsidR="00BA15E7" w:rsidRPr="00BA15E7">
        <w:rPr>
          <w:lang w:val="en-US" w:bidi="en-US"/>
        </w:rPr>
        <w:t>logically correct</w:t>
      </w:r>
      <w:r w:rsidR="00BA15E7">
        <w:rPr>
          <w:lang w:val="en-US" w:bidi="en-US"/>
        </w:rPr>
        <w:t xml:space="preserve">. </w:t>
      </w:r>
    </w:p>
    <w:p w:rsidR="00A74DD5" w:rsidRPr="00A74DD5" w:rsidRDefault="00B20C96" w:rsidP="00973ED8">
      <w:pPr>
        <w:pStyle w:val="-"/>
        <w:rPr>
          <w:lang w:val="en-US" w:bidi="en-US"/>
        </w:rPr>
      </w:pPr>
      <w:r w:rsidRPr="00B20C96">
        <w:rPr>
          <w:lang w:bidi="en-US"/>
        </w:rPr>
        <w:t>Suggestions for changing and refining the Technical Audit template are well-grounded as a result of the overall view of the problem from different perspectives.</w:t>
      </w:r>
      <w:r>
        <w:rPr>
          <w:lang w:bidi="en-US"/>
        </w:rPr>
        <w:t xml:space="preserve"> </w:t>
      </w:r>
      <w:r w:rsidR="00A74DD5" w:rsidRPr="00A74DD5">
        <w:rPr>
          <w:lang w:bidi="en-US"/>
        </w:rPr>
        <w:t>A simplified RVS procedure for consistent application across the country should be included as mandatory for the Technical Audit. Since the LPBs are characterised by a rather specific seismic response, an RVS form could be developed especially for them with predefined</w:t>
      </w:r>
      <w:r w:rsidR="00A74DD5">
        <w:rPr>
          <w:lang w:bidi="en-US"/>
        </w:rPr>
        <w:t xml:space="preserve"> parameters. </w:t>
      </w:r>
      <w:r w:rsidR="00A74DD5">
        <w:rPr>
          <w:lang w:val="en-US" w:bidi="en-US"/>
        </w:rPr>
        <w:t xml:space="preserve">Obviously the </w:t>
      </w:r>
      <w:r w:rsidR="00A74DD5" w:rsidRPr="00A74DD5">
        <w:rPr>
          <w:lang w:bidi="en-US"/>
        </w:rPr>
        <w:t>RVS procedure</w:t>
      </w:r>
      <w:r w:rsidR="00A74DD5">
        <w:rPr>
          <w:lang w:val="en-US" w:bidi="en-US"/>
        </w:rPr>
        <w:t xml:space="preserve"> is a critical point in the whole idea. Without this procedure will be imposible to realize the plan.</w:t>
      </w:r>
    </w:p>
    <w:p w:rsidR="00546D7A" w:rsidRDefault="00546D7A" w:rsidP="00973ED8">
      <w:pPr>
        <w:pStyle w:val="-"/>
        <w:rPr>
          <w:lang w:val="en-US" w:bidi="en-US"/>
        </w:rPr>
      </w:pPr>
      <w:r>
        <w:rPr>
          <w:lang w:val="en-US" w:bidi="en-US"/>
        </w:rPr>
        <w:t>The team concluded that a</w:t>
      </w:r>
      <w:r w:rsidRPr="00546D7A">
        <w:rPr>
          <w:lang w:val="en-US" w:bidi="en-US"/>
        </w:rPr>
        <w:t xml:space="preserve"> key aspect is also the independent control as part of the assessment process</w:t>
      </w:r>
      <w:r>
        <w:rPr>
          <w:lang w:val="en-US" w:bidi="en-US"/>
        </w:rPr>
        <w:t xml:space="preserve">, which is correct and important </w:t>
      </w:r>
      <w:r w:rsidR="003A364D">
        <w:rPr>
          <w:lang w:val="en-US" w:bidi="en-US"/>
        </w:rPr>
        <w:t>from practical point of view</w:t>
      </w:r>
      <w:r w:rsidRPr="00546D7A">
        <w:rPr>
          <w:lang w:val="en-US" w:bidi="en-US"/>
        </w:rPr>
        <w:t>. Currently, there is no national body for independent control of the technical audits which should be responsible for the quality of seismic assessment and technical passportization of the existing buildings in Bulgaria, including the LPBs.</w:t>
      </w:r>
    </w:p>
    <w:p w:rsidR="00661E69" w:rsidRPr="00661E69" w:rsidRDefault="00661E69" w:rsidP="00973ED8">
      <w:pPr>
        <w:pStyle w:val="-"/>
        <w:rPr>
          <w:lang w:val="en-US" w:bidi="en-US"/>
        </w:rPr>
      </w:pPr>
      <w:bookmarkStart w:id="13" w:name="bookmark22"/>
      <w:r w:rsidRPr="00661E69">
        <w:rPr>
          <w:lang w:val="en-US" w:bidi="en-US"/>
        </w:rPr>
        <w:lastRenderedPageBreak/>
        <w:t>An important part of the project are recommendations for improvement of the seismic assessment process of existing buildings</w:t>
      </w:r>
      <w:bookmarkEnd w:id="13"/>
      <w:r w:rsidRPr="00661E69">
        <w:rPr>
          <w:lang w:val="en-US" w:bidi="en-US"/>
        </w:rPr>
        <w:t>. They can be summarized as: removal of the Art.5 and Art.6 in Ordinance N2; enforcing the use of Eurocode 8 for assessment and retrofit of existing buildings with public funding; development of a Rapid Visual Screening procedure; development of supplement guidelines to support the use of the Ordinance N2 and EN 1998-3 for seismic assessment of large-panel buildings; and develop practical guidelines to support the use of Eurocode 8, Part 3.</w:t>
      </w:r>
    </w:p>
    <w:p w:rsidR="00661E69" w:rsidRDefault="00661E69" w:rsidP="00973ED8">
      <w:pPr>
        <w:pStyle w:val="-"/>
        <w:rPr>
          <w:lang w:val="en-US" w:bidi="en-US"/>
        </w:rPr>
      </w:pPr>
      <w:r w:rsidRPr="00661E69">
        <w:rPr>
          <w:lang w:val="en-US" w:bidi="en-US"/>
        </w:rPr>
        <w:t>Removal of the Art.5 and Art.6 in Ordinance N2, that allow seismic resistance to be justified based on compliance with historic design codes, generally is acceptable as a short term change. But not immediately before the other supporting documents are ready</w:t>
      </w:r>
      <w:r>
        <w:rPr>
          <w:lang w:val="en-US" w:bidi="en-US"/>
        </w:rPr>
        <w:t xml:space="preserve"> (the</w:t>
      </w:r>
      <w:r>
        <w:rPr>
          <w:lang w:bidi="en-US"/>
        </w:rPr>
        <w:t xml:space="preserve"> </w:t>
      </w:r>
      <w:r w:rsidRPr="00A74DD5">
        <w:rPr>
          <w:lang w:bidi="en-US"/>
        </w:rPr>
        <w:t>RVS procedure</w:t>
      </w:r>
      <w:r>
        <w:rPr>
          <w:lang w:val="en-US" w:bidi="en-US"/>
        </w:rPr>
        <w:t xml:space="preserve"> mainly)</w:t>
      </w:r>
      <w:r w:rsidRPr="00661E69">
        <w:rPr>
          <w:lang w:val="en-US" w:bidi="en-US"/>
        </w:rPr>
        <w:t xml:space="preserve">. </w:t>
      </w:r>
    </w:p>
    <w:p w:rsidR="008B2883" w:rsidRPr="008B2883" w:rsidRDefault="008B2883" w:rsidP="00973ED8">
      <w:pPr>
        <w:pStyle w:val="-"/>
        <w:rPr>
          <w:bCs/>
          <w:lang w:val="en-US" w:bidi="en-US"/>
        </w:rPr>
      </w:pPr>
      <w:bookmarkStart w:id="14" w:name="bookmark23"/>
      <w:r w:rsidRPr="008B2883">
        <w:rPr>
          <w:bCs/>
          <w:lang w:val="en-US" w:bidi="en-US"/>
        </w:rPr>
        <w:t>The concept for Practical Rapid Visual Screening (RVS) procedure</w:t>
      </w:r>
      <w:bookmarkEnd w:id="14"/>
      <w:r w:rsidRPr="008B2883">
        <w:rPr>
          <w:bCs/>
          <w:lang w:val="en-US" w:bidi="en-US"/>
        </w:rPr>
        <w:t xml:space="preserve"> is developed as philosophy in 10 steps. Starting with </w:t>
      </w:r>
      <w:r w:rsidRPr="008B2883">
        <w:rPr>
          <w:lang w:val="en-US" w:bidi="en-US"/>
        </w:rPr>
        <w:t>d</w:t>
      </w:r>
      <w:r w:rsidRPr="008B2883">
        <w:rPr>
          <w:lang w:bidi="en-US"/>
        </w:rPr>
        <w:t>efin</w:t>
      </w:r>
      <w:r w:rsidRPr="008B2883">
        <w:rPr>
          <w:lang w:val="en-US" w:bidi="en-US"/>
        </w:rPr>
        <w:t>ition of</w:t>
      </w:r>
      <w:r w:rsidRPr="008B2883">
        <w:rPr>
          <w:lang w:bidi="en-US"/>
        </w:rPr>
        <w:t xml:space="preserve"> clear performance objectives</w:t>
      </w:r>
      <w:r w:rsidRPr="008B2883">
        <w:rPr>
          <w:lang w:val="en-US" w:bidi="en-US"/>
        </w:rPr>
        <w:t>,</w:t>
      </w:r>
      <w:r w:rsidRPr="008B2883">
        <w:rPr>
          <w:bCs/>
          <w:lang w:val="en-US" w:bidi="en-US"/>
        </w:rPr>
        <w:t xml:space="preserve"> group the large panel buildings in structural types, define the validity range, list critical structural deficiencies, list critical non-structural deficiencies, set up the basic scores for the structure, prescribe modifiers, set up scores for facade and non-structural elements, prescribe parameters to account for site-specific hazards and finally concluding section. </w:t>
      </w:r>
    </w:p>
    <w:p w:rsidR="00AD6DF7" w:rsidRPr="00AD6DF7" w:rsidRDefault="00AD6DF7" w:rsidP="00973ED8">
      <w:pPr>
        <w:pStyle w:val="-"/>
        <w:rPr>
          <w:bCs/>
          <w:lang w:val="en-US" w:bidi="en-US"/>
        </w:rPr>
      </w:pPr>
      <w:r w:rsidRPr="00AD6DF7">
        <w:rPr>
          <w:bCs/>
          <w:lang w:val="en-US" w:bidi="en-US"/>
        </w:rPr>
        <w:t xml:space="preserve">The last chapter </w:t>
      </w:r>
      <w:r w:rsidR="002400D4">
        <w:rPr>
          <w:bCs/>
          <w:lang w:val="en-US" w:bidi="en-US"/>
        </w:rPr>
        <w:t xml:space="preserve">of component 5 </w:t>
      </w:r>
      <w:r w:rsidRPr="00AD6DF7">
        <w:rPr>
          <w:bCs/>
          <w:lang w:val="en-US" w:bidi="en-US"/>
        </w:rPr>
        <w:t xml:space="preserve">contains action plan - a list of actions that could be undertaken to address the recommendations for the improvement of the seismic assessment of large-panel buildings and the part in the Technical Audit associated with it. </w:t>
      </w:r>
    </w:p>
    <w:p w:rsidR="00AD6DF7" w:rsidRPr="00A2314D" w:rsidRDefault="00A2314D" w:rsidP="00973ED8">
      <w:pPr>
        <w:pStyle w:val="-"/>
        <w:rPr>
          <w:bCs/>
          <w:lang w:val="en-US" w:bidi="en-US"/>
        </w:rPr>
      </w:pPr>
      <w:r w:rsidRPr="00A2314D">
        <w:rPr>
          <w:bCs/>
          <w:lang w:val="en-US" w:bidi="en-US"/>
        </w:rPr>
        <w:t>The Action Plan needs to be highly appreciated for the following reasons: firstly, the types of activities are clearly outlined; secondly, an idea of the possible organization of the whole process (response parties, involved parties) is given; thirdly, activities are grouped by priorities (short, long, medium term).</w:t>
      </w:r>
    </w:p>
    <w:p w:rsidR="00AD6DF7" w:rsidRPr="00A2314D" w:rsidRDefault="00887DC0" w:rsidP="00973ED8">
      <w:pPr>
        <w:pStyle w:val="-"/>
        <w:rPr>
          <w:bCs/>
          <w:lang w:val="en-US" w:bidi="en-US"/>
        </w:rPr>
      </w:pPr>
      <w:r w:rsidRPr="00887DC0">
        <w:rPr>
          <w:bCs/>
          <w:lang w:val="en-US" w:bidi="en-US"/>
        </w:rPr>
        <w:t xml:space="preserve">Our only remark is to the recommendation "Remove or modify § 1.2. "(3) in the Ordinance amending and supplementing Order No. 2" with timeframe - immediate and importance - critical. We believe that only the removal of the cited texts will not solve the problem without the other activities being carried out. Only this activity has the status "immediate", which means there will be a period of time during which these texts have been canceled, but nothing new is yet available. This should not be allowed, as it will produce a </w:t>
      </w:r>
      <w:r>
        <w:rPr>
          <w:bCs/>
          <w:lang w:bidi="en-US"/>
        </w:rPr>
        <w:t>„</w:t>
      </w:r>
      <w:r w:rsidRPr="00887DC0">
        <w:rPr>
          <w:bCs/>
          <w:lang w:val="en-US" w:bidi="en-US"/>
        </w:rPr>
        <w:t>vacuum"</w:t>
      </w:r>
      <w:r>
        <w:rPr>
          <w:bCs/>
          <w:lang w:bidi="en-US"/>
        </w:rPr>
        <w:t xml:space="preserve"> </w:t>
      </w:r>
      <w:r w:rsidRPr="00887DC0">
        <w:rPr>
          <w:bCs/>
          <w:lang w:val="en-US" w:bidi="en-US"/>
        </w:rPr>
        <w:t>in the legal framework.</w:t>
      </w:r>
    </w:p>
    <w:p w:rsidR="00AD6DF7" w:rsidRPr="00A2314D" w:rsidRDefault="00AD6DF7" w:rsidP="00A2314D">
      <w:pPr>
        <w:pStyle w:val="-"/>
        <w:rPr>
          <w:bCs/>
          <w:lang w:val="en-US" w:bidi="en-US"/>
        </w:rPr>
      </w:pPr>
    </w:p>
    <w:p w:rsidR="00E541C6" w:rsidRPr="007F33CD" w:rsidRDefault="001F3BCE" w:rsidP="007F33CD">
      <w:pPr>
        <w:pStyle w:val="M-1"/>
        <w:numPr>
          <w:ilvl w:val="0"/>
          <w:numId w:val="20"/>
        </w:numPr>
      </w:pPr>
      <w:bookmarkStart w:id="15" w:name="_Toc3297879"/>
      <w:r w:rsidRPr="007F33CD">
        <w:t xml:space="preserve">Final </w:t>
      </w:r>
      <w:r w:rsidR="006C39CA" w:rsidRPr="006C39CA">
        <w:t>conclusion</w:t>
      </w:r>
      <w:bookmarkEnd w:id="15"/>
    </w:p>
    <w:p w:rsidR="007E05F4" w:rsidRDefault="00036D1A" w:rsidP="00973ED8">
      <w:pPr>
        <w:pStyle w:val="-"/>
        <w:rPr>
          <w:lang w:val="en-US" w:bidi="en-US"/>
        </w:rPr>
      </w:pPr>
      <w:r w:rsidRPr="00036D1A">
        <w:rPr>
          <w:lang w:val="en-US" w:bidi="en-US"/>
        </w:rPr>
        <w:t>The goals set by the team at the beginning are summarized as follows:</w:t>
      </w:r>
    </w:p>
    <w:p w:rsidR="006C39CA" w:rsidRDefault="006C39CA" w:rsidP="00973ED8">
      <w:pPr>
        <w:pStyle w:val="-"/>
        <w:numPr>
          <w:ilvl w:val="0"/>
          <w:numId w:val="27"/>
        </w:numPr>
        <w:spacing w:after="60"/>
        <w:ind w:left="1570" w:hanging="357"/>
        <w:rPr>
          <w:lang w:val="en-US"/>
        </w:rPr>
      </w:pPr>
      <w:r>
        <w:rPr>
          <w:lang w:val="en-US"/>
        </w:rPr>
        <w:t xml:space="preserve">Risk assessment </w:t>
      </w:r>
      <w:r w:rsidR="00F86B23" w:rsidRPr="00F86B23">
        <w:rPr>
          <w:lang w:val="en-US"/>
        </w:rPr>
        <w:t>(damage</w:t>
      </w:r>
      <w:r>
        <w:rPr>
          <w:lang w:val="en-US"/>
        </w:rPr>
        <w:t>s</w:t>
      </w:r>
      <w:r w:rsidR="00F86B23" w:rsidRPr="00F86B23">
        <w:rPr>
          <w:lang w:val="en-US"/>
        </w:rPr>
        <w:t xml:space="preserve">, </w:t>
      </w:r>
      <w:r>
        <w:rPr>
          <w:lang w:val="en-US"/>
        </w:rPr>
        <w:t xml:space="preserve">losses, </w:t>
      </w:r>
      <w:r w:rsidR="00F86B23" w:rsidRPr="00F86B23">
        <w:rPr>
          <w:lang w:val="en-US"/>
        </w:rPr>
        <w:t xml:space="preserve">fatalities, homelessness) due to seismic events </w:t>
      </w:r>
      <w:r>
        <w:rPr>
          <w:lang w:val="en-US"/>
        </w:rPr>
        <w:t>for</w:t>
      </w:r>
      <w:r w:rsidR="00F86B23" w:rsidRPr="00F86B23">
        <w:rPr>
          <w:lang w:val="en-US"/>
        </w:rPr>
        <w:t xml:space="preserve"> the existing stock of the multi-family large</w:t>
      </w:r>
      <w:r>
        <w:rPr>
          <w:lang w:val="en-US"/>
        </w:rPr>
        <w:t xml:space="preserve"> </w:t>
      </w:r>
      <w:r w:rsidR="00F86B23" w:rsidRPr="00F86B23">
        <w:rPr>
          <w:lang w:val="en-US"/>
        </w:rPr>
        <w:t xml:space="preserve">panel residential buildings in Bulgaria; </w:t>
      </w:r>
    </w:p>
    <w:p w:rsidR="006C39CA" w:rsidRDefault="006C39CA" w:rsidP="00973ED8">
      <w:pPr>
        <w:pStyle w:val="-"/>
        <w:numPr>
          <w:ilvl w:val="0"/>
          <w:numId w:val="27"/>
        </w:numPr>
        <w:spacing w:after="60"/>
        <w:ind w:left="1570" w:hanging="357"/>
        <w:rPr>
          <w:lang w:val="en-US"/>
        </w:rPr>
      </w:pPr>
      <w:r>
        <w:rPr>
          <w:lang w:val="en-US"/>
        </w:rPr>
        <w:t>D</w:t>
      </w:r>
      <w:r w:rsidR="00F86B23" w:rsidRPr="00F86B23">
        <w:rPr>
          <w:lang w:val="en-US"/>
        </w:rPr>
        <w:t>evelop a strategy that would enable improvements in the structural safety with respect to the local peculiarities and limitations</w:t>
      </w:r>
      <w:r>
        <w:rPr>
          <w:lang w:val="en-US"/>
        </w:rPr>
        <w:t>;</w:t>
      </w:r>
    </w:p>
    <w:p w:rsidR="00F86B23" w:rsidRPr="00F86B23" w:rsidRDefault="006C39CA" w:rsidP="00973ED8">
      <w:pPr>
        <w:pStyle w:val="-"/>
        <w:numPr>
          <w:ilvl w:val="0"/>
          <w:numId w:val="27"/>
        </w:numPr>
        <w:spacing w:after="60"/>
        <w:ind w:left="1570" w:hanging="357"/>
        <w:rPr>
          <w:lang w:val="en-US"/>
        </w:rPr>
      </w:pPr>
      <w:r>
        <w:rPr>
          <w:lang w:val="en-US"/>
        </w:rPr>
        <w:t>A</w:t>
      </w:r>
      <w:r w:rsidR="00F86B23" w:rsidRPr="00F86B23">
        <w:rPr>
          <w:lang w:val="en-US"/>
        </w:rPr>
        <w:t xml:space="preserve">dvise on the improvement of the existing building survey procedure undertaken as part of the on-going Energy Efficiency </w:t>
      </w:r>
      <w:r>
        <w:rPr>
          <w:lang w:val="en-US"/>
        </w:rPr>
        <w:t>P</w:t>
      </w:r>
      <w:r w:rsidR="00F86B23" w:rsidRPr="00F86B23">
        <w:rPr>
          <w:lang w:val="en-US"/>
        </w:rPr>
        <w:t>rogram.</w:t>
      </w:r>
    </w:p>
    <w:p w:rsidR="00F86B23" w:rsidRDefault="00036D1A" w:rsidP="00F86B23">
      <w:pPr>
        <w:pStyle w:val="-"/>
        <w:rPr>
          <w:lang w:val="en-US"/>
        </w:rPr>
      </w:pPr>
      <w:r w:rsidRPr="00036D1A">
        <w:rPr>
          <w:lang w:val="en-US"/>
        </w:rPr>
        <w:t xml:space="preserve">After reviewing the whole project, it can clearly be stated that the </w:t>
      </w:r>
      <w:r w:rsidR="00CA7BFE">
        <w:rPr>
          <w:lang w:val="en-US"/>
        </w:rPr>
        <w:t>goals</w:t>
      </w:r>
      <w:r w:rsidRPr="00036D1A">
        <w:rPr>
          <w:lang w:val="en-US"/>
        </w:rPr>
        <w:t xml:space="preserve"> have been fully achieved despite the relatively short deadline of one year.</w:t>
      </w:r>
    </w:p>
    <w:p w:rsidR="006A1F87" w:rsidRPr="006A1F87" w:rsidRDefault="006A1F87" w:rsidP="006A1F87">
      <w:pPr>
        <w:pStyle w:val="-"/>
        <w:rPr>
          <w:bCs/>
          <w:lang w:val="en-US" w:bidi="en-US"/>
        </w:rPr>
      </w:pPr>
      <w:r w:rsidRPr="006A1F87">
        <w:rPr>
          <w:bCs/>
          <w:lang w:val="en-US" w:bidi="en-US"/>
        </w:rPr>
        <w:t xml:space="preserve">The most important achievments of the project </w:t>
      </w:r>
      <w:r w:rsidR="00CA7BFE">
        <w:rPr>
          <w:bCs/>
          <w:lang w:val="en-US" w:bidi="en-US"/>
        </w:rPr>
        <w:t>can be summarized as follows</w:t>
      </w:r>
      <w:r w:rsidRPr="006A1F87">
        <w:rPr>
          <w:bCs/>
          <w:lang w:val="en-US" w:bidi="en-US"/>
        </w:rPr>
        <w:t>:</w:t>
      </w:r>
    </w:p>
    <w:p w:rsidR="006A1F87" w:rsidRPr="006A1F87" w:rsidRDefault="006A1F87" w:rsidP="006A1F87">
      <w:pPr>
        <w:pStyle w:val="-"/>
        <w:numPr>
          <w:ilvl w:val="0"/>
          <w:numId w:val="33"/>
        </w:numPr>
        <w:rPr>
          <w:bCs/>
          <w:lang w:bidi="en-US"/>
        </w:rPr>
      </w:pPr>
      <w:r w:rsidRPr="006A1F87">
        <w:rPr>
          <w:bCs/>
          <w:lang w:val="en-US" w:bidi="en-US"/>
        </w:rPr>
        <w:t>A</w:t>
      </w:r>
      <w:r w:rsidR="00D35822" w:rsidRPr="006A1F87">
        <w:rPr>
          <w:bCs/>
          <w:lang w:bidi="en-US"/>
        </w:rPr>
        <w:t>nalysis of the input exposure data (collected from different sources), including manual</w:t>
      </w:r>
      <w:r w:rsidR="00D35822" w:rsidRPr="006A1F87">
        <w:rPr>
          <w:bCs/>
          <w:lang w:val="en-US" w:bidi="en-US"/>
        </w:rPr>
        <w:t xml:space="preserve"> </w:t>
      </w:r>
      <w:r w:rsidR="00D35822" w:rsidRPr="006A1F87">
        <w:rPr>
          <w:bCs/>
          <w:lang w:bidi="en-US"/>
        </w:rPr>
        <w:t>counting. The data are carefully examined and analyzed in view of their reability and releva</w:t>
      </w:r>
      <w:r w:rsidRPr="006A1F87">
        <w:rPr>
          <w:bCs/>
          <w:lang w:bidi="en-US"/>
        </w:rPr>
        <w:t>nce</w:t>
      </w:r>
      <w:r w:rsidRPr="006A1F87">
        <w:rPr>
          <w:bCs/>
          <w:lang w:val="en-US" w:bidi="en-US"/>
        </w:rPr>
        <w:t>;</w:t>
      </w:r>
    </w:p>
    <w:p w:rsidR="006A1F87" w:rsidRPr="006A1F87" w:rsidRDefault="006A1F87" w:rsidP="006A1F87">
      <w:pPr>
        <w:pStyle w:val="-"/>
        <w:numPr>
          <w:ilvl w:val="0"/>
          <w:numId w:val="33"/>
        </w:numPr>
        <w:rPr>
          <w:bCs/>
          <w:lang w:val="en-US" w:bidi="en-US"/>
        </w:rPr>
      </w:pPr>
      <w:r w:rsidRPr="006A1F87">
        <w:rPr>
          <w:bCs/>
          <w:lang w:val="en-US" w:bidi="en-US"/>
        </w:rPr>
        <w:t>Special attention is paid to the cities Sofia and Plovdiv, for which the exposure data is built with resolution at a neighbourhood-level, which is a substantial improvement over the available datasets on the building stock in Bulgaria;</w:t>
      </w:r>
    </w:p>
    <w:p w:rsidR="006A1F87" w:rsidRPr="006A1F87" w:rsidRDefault="006A1F87" w:rsidP="006A1F87">
      <w:pPr>
        <w:pStyle w:val="-"/>
        <w:numPr>
          <w:ilvl w:val="0"/>
          <w:numId w:val="33"/>
        </w:numPr>
        <w:rPr>
          <w:bCs/>
          <w:lang w:bidi="en-US"/>
        </w:rPr>
      </w:pPr>
      <w:r w:rsidRPr="006A1F87">
        <w:rPr>
          <w:bCs/>
          <w:lang w:val="en-US" w:bidi="en-US"/>
        </w:rPr>
        <w:lastRenderedPageBreak/>
        <w:t>The nonlinear models consider explicitly the finite connectivity between panels through detailed models of the dowels. The software used LS-DYNA allows for the non-linear behavior of materials and friction between the panels. The developed three-dimensional numerical models are fully adequate to the real structures;</w:t>
      </w:r>
    </w:p>
    <w:p w:rsidR="006A1F87" w:rsidRPr="006A1F87" w:rsidRDefault="006A1F87" w:rsidP="006A1F87">
      <w:pPr>
        <w:pStyle w:val="-"/>
        <w:numPr>
          <w:ilvl w:val="0"/>
          <w:numId w:val="33"/>
        </w:numPr>
        <w:rPr>
          <w:bCs/>
          <w:lang w:bidi="en-US"/>
        </w:rPr>
      </w:pPr>
      <w:r w:rsidRPr="006A1F87">
        <w:rPr>
          <w:bCs/>
          <w:lang w:val="en-US" w:bidi="en-US"/>
        </w:rPr>
        <w:t>Developing fragility functions for the representative structural typologies and corresponding vulnerability functions through damage-loss correlations. This is definitely done for the first time in Bulgaria and is a really substantial achievement for Bulgarian earthquake engineering;</w:t>
      </w:r>
    </w:p>
    <w:p w:rsidR="00F4537B" w:rsidRPr="006A1F87" w:rsidRDefault="00D35822" w:rsidP="006A1F87">
      <w:pPr>
        <w:pStyle w:val="-"/>
        <w:numPr>
          <w:ilvl w:val="0"/>
          <w:numId w:val="33"/>
        </w:numPr>
        <w:rPr>
          <w:bCs/>
          <w:lang w:val="en-US" w:bidi="en-US"/>
        </w:rPr>
      </w:pPr>
      <w:r w:rsidRPr="006A1F87">
        <w:rPr>
          <w:bCs/>
          <w:lang w:val="en-US" w:bidi="en-US"/>
        </w:rPr>
        <w:t>The results of probabilistic seismic risk analysis</w:t>
      </w:r>
      <w:r w:rsidRPr="006A1F87">
        <w:rPr>
          <w:b/>
          <w:bCs/>
          <w:lang w:val="en-US" w:bidi="en-US"/>
        </w:rPr>
        <w:t xml:space="preserve"> </w:t>
      </w:r>
      <w:r w:rsidRPr="006A1F87">
        <w:rPr>
          <w:bCs/>
          <w:lang w:val="en-US" w:bidi="en-US"/>
        </w:rPr>
        <w:t xml:space="preserve">confirm the high seismic resistance of the large panel buildings observed in past earthquakes. The collapse risk is rather low, in the range of 0.1-0.6% for most of the territory of Bulgaria. Even for the municipalities with highest collapse risk the valuev are </w:t>
      </w:r>
      <w:r w:rsidR="006A1F87" w:rsidRPr="006A1F87">
        <w:rPr>
          <w:bCs/>
          <w:lang w:val="en-US" w:bidi="en-US"/>
        </w:rPr>
        <w:t>below 1% in 50 years;</w:t>
      </w:r>
    </w:p>
    <w:p w:rsidR="00F4537B" w:rsidRPr="006A1F87" w:rsidRDefault="00D35822" w:rsidP="006A1F87">
      <w:pPr>
        <w:pStyle w:val="-"/>
        <w:numPr>
          <w:ilvl w:val="0"/>
          <w:numId w:val="33"/>
        </w:numPr>
        <w:rPr>
          <w:bCs/>
          <w:lang w:bidi="en-US"/>
        </w:rPr>
      </w:pPr>
      <w:r w:rsidRPr="006A1F87">
        <w:rPr>
          <w:bCs/>
          <w:lang w:bidi="en-US"/>
        </w:rPr>
        <w:t>The results from the project give the answer for the question: what is the most dangeros typology. This is done by disaggregating the expected monetary losses corresponding to a design basis earthquake for the riskiest cities to a structural architype level. The structural architype Classics in its high-rise version (above 6 floors) contributes for over 50% of the losses, with over 30% coming from the most common 8th</w:t>
      </w:r>
      <w:r w:rsidR="006A1F87" w:rsidRPr="006A1F87">
        <w:rPr>
          <w:bCs/>
          <w:lang w:bidi="en-US"/>
        </w:rPr>
        <w:t xml:space="preserve"> floor buildings</w:t>
      </w:r>
      <w:r w:rsidR="006A1F87" w:rsidRPr="006A1F87">
        <w:rPr>
          <w:bCs/>
          <w:lang w:val="en-US" w:bidi="en-US"/>
        </w:rPr>
        <w:t>;</w:t>
      </w:r>
    </w:p>
    <w:p w:rsidR="006A1F87" w:rsidRPr="006A1F87" w:rsidRDefault="00D35822" w:rsidP="006A1F87">
      <w:pPr>
        <w:pStyle w:val="-"/>
        <w:numPr>
          <w:ilvl w:val="0"/>
          <w:numId w:val="33"/>
        </w:numPr>
        <w:rPr>
          <w:bCs/>
          <w:lang w:bidi="en-US"/>
        </w:rPr>
      </w:pPr>
      <w:r w:rsidRPr="006A1F87">
        <w:rPr>
          <w:bCs/>
          <w:lang w:bidi="en-US"/>
        </w:rPr>
        <w:t>Significant damage and out-of-plane failure of facade panels due to a "design" earthquake is considered a credible scenario. The contribution of the facade damage is estimated to be in the range of 30-50% of the total direct monetary losses. So far no one in Bulgaria has paid much attention to the</w:t>
      </w:r>
      <w:r w:rsidR="006A1F87" w:rsidRPr="006A1F87">
        <w:rPr>
          <w:bCs/>
          <w:lang w:bidi="en-US"/>
        </w:rPr>
        <w:t xml:space="preserve"> vulnerability of facade panels</w:t>
      </w:r>
      <w:r w:rsidR="006A1F87" w:rsidRPr="006A1F87">
        <w:rPr>
          <w:bCs/>
          <w:lang w:val="en-US" w:bidi="en-US"/>
        </w:rPr>
        <w:t>;</w:t>
      </w:r>
    </w:p>
    <w:p w:rsidR="00F4537B" w:rsidRPr="006A1F87" w:rsidRDefault="00CF0542" w:rsidP="006A1F87">
      <w:pPr>
        <w:pStyle w:val="-"/>
        <w:numPr>
          <w:ilvl w:val="0"/>
          <w:numId w:val="33"/>
        </w:numPr>
        <w:rPr>
          <w:bCs/>
          <w:lang w:bidi="en-US"/>
        </w:rPr>
      </w:pPr>
      <w:r>
        <w:rPr>
          <w:bCs/>
          <w:lang w:val="en-US" w:bidi="en-US"/>
        </w:rPr>
        <w:t>T</w:t>
      </w:r>
      <w:r w:rsidR="006A1F87" w:rsidRPr="006A1F87">
        <w:rPr>
          <w:bCs/>
          <w:lang w:bidi="en-US"/>
        </w:rPr>
        <w:t xml:space="preserve">he authors </w:t>
      </w:r>
      <w:r w:rsidR="006A1F87" w:rsidRPr="006A1F87">
        <w:rPr>
          <w:bCs/>
          <w:lang w:val="en-US" w:bidi="en-US"/>
        </w:rPr>
        <w:t xml:space="preserve">are </w:t>
      </w:r>
      <w:r w:rsidR="006A1F87" w:rsidRPr="006A1F87">
        <w:rPr>
          <w:bCs/>
          <w:lang w:bidi="en-US"/>
        </w:rPr>
        <w:t>formulate</w:t>
      </w:r>
      <w:r w:rsidR="006A1F87" w:rsidRPr="006A1F87">
        <w:rPr>
          <w:bCs/>
          <w:lang w:val="en-US" w:bidi="en-US"/>
        </w:rPr>
        <w:t>d</w:t>
      </w:r>
      <w:r w:rsidR="006A1F87" w:rsidRPr="006A1F87">
        <w:rPr>
          <w:bCs/>
          <w:lang w:bidi="en-US"/>
        </w:rPr>
        <w:t xml:space="preserve"> three main </w:t>
      </w:r>
      <w:r w:rsidR="006A1F87" w:rsidRPr="006A1F87">
        <w:rPr>
          <w:bCs/>
          <w:lang w:val="en-US" w:bidi="en-US"/>
        </w:rPr>
        <w:t>directions</w:t>
      </w:r>
      <w:r w:rsidR="006A1F87" w:rsidRPr="006A1F87">
        <w:rPr>
          <w:bCs/>
          <w:lang w:bidi="en-US"/>
        </w:rPr>
        <w:t xml:space="preserve"> for practical action: </w:t>
      </w:r>
      <w:r w:rsidR="006A1F87" w:rsidRPr="006A1F87">
        <w:rPr>
          <w:bCs/>
          <w:lang w:val="en-US" w:bidi="en-US"/>
        </w:rPr>
        <w:t>s</w:t>
      </w:r>
      <w:r w:rsidR="006A1F87" w:rsidRPr="006A1F87">
        <w:rPr>
          <w:bCs/>
          <w:lang w:bidi="en-US"/>
        </w:rPr>
        <w:t xml:space="preserve">trengthening the organisational capacity and control of the technical audit process, </w:t>
      </w:r>
      <w:r w:rsidR="006A1F87" w:rsidRPr="006A1F87">
        <w:rPr>
          <w:bCs/>
          <w:lang w:val="en-US" w:bidi="en-US"/>
        </w:rPr>
        <w:t>i</w:t>
      </w:r>
      <w:r w:rsidR="006A1F87" w:rsidRPr="006A1F87">
        <w:rPr>
          <w:bCs/>
          <w:lang w:bidi="en-US"/>
        </w:rPr>
        <w:t xml:space="preserve">mprovement of the technical audit template </w:t>
      </w:r>
      <w:r w:rsidR="006A1F87" w:rsidRPr="006A1F87">
        <w:rPr>
          <w:bCs/>
          <w:lang w:val="en-US" w:bidi="en-US"/>
        </w:rPr>
        <w:t>and s</w:t>
      </w:r>
      <w:r w:rsidR="006A1F87" w:rsidRPr="006A1F87">
        <w:rPr>
          <w:bCs/>
          <w:lang w:bidi="en-US"/>
        </w:rPr>
        <w:t>trengthening the regulatory environment by developing structural design codes and guidelines to support seismic assessment of existing buildings</w:t>
      </w:r>
      <w:r w:rsidR="006A1F87" w:rsidRPr="006A1F87">
        <w:rPr>
          <w:bCs/>
          <w:lang w:val="en-US" w:bidi="en-US"/>
        </w:rPr>
        <w:t>.</w:t>
      </w:r>
    </w:p>
    <w:p w:rsidR="00BA109F" w:rsidRPr="006A1F87" w:rsidRDefault="00AB65DA" w:rsidP="006A1F87">
      <w:pPr>
        <w:pStyle w:val="-"/>
        <w:rPr>
          <w:bCs/>
          <w:lang w:bidi="en-US"/>
        </w:rPr>
      </w:pPr>
    </w:p>
    <w:p w:rsidR="00AB18CF" w:rsidRPr="00036D1A" w:rsidRDefault="00234438" w:rsidP="00973ED8">
      <w:pPr>
        <w:pStyle w:val="-"/>
        <w:rPr>
          <w:bCs/>
          <w:lang w:bidi="en-US"/>
        </w:rPr>
      </w:pPr>
      <w:r w:rsidRPr="00234438">
        <w:rPr>
          <w:bCs/>
          <w:lang w:bidi="en-US"/>
        </w:rPr>
        <w:t xml:space="preserve">The final evaluation is positive, the work has been done at a highly professional level. A modern approach is implemented, combined with the use of </w:t>
      </w:r>
      <w:r>
        <w:rPr>
          <w:bCs/>
          <w:lang w:val="en-US" w:bidi="en-US"/>
        </w:rPr>
        <w:t>sophysticated</w:t>
      </w:r>
      <w:r w:rsidRPr="00234438">
        <w:rPr>
          <w:bCs/>
          <w:lang w:bidi="en-US"/>
        </w:rPr>
        <w:t xml:space="preserve"> software for modeling and analysis of panel buildings. Different issues (technical, normative, social, organizational) are analyzed in depth and from different perspectives. The results obtained are of particular importance for Bulgaria and a possible </w:t>
      </w:r>
      <w:r w:rsidR="0065470C">
        <w:rPr>
          <w:bCs/>
          <w:lang w:val="en-US" w:bidi="en-US"/>
        </w:rPr>
        <w:t>extension</w:t>
      </w:r>
      <w:r w:rsidRPr="00234438">
        <w:rPr>
          <w:bCs/>
          <w:lang w:bidi="en-US"/>
        </w:rPr>
        <w:t xml:space="preserve"> in the future will be very useful for Bulgarian engineering practice.</w:t>
      </w:r>
    </w:p>
    <w:p w:rsidR="00AB18CF" w:rsidRPr="00AB18CF" w:rsidRDefault="00AB18CF" w:rsidP="00F86B23">
      <w:pPr>
        <w:pStyle w:val="-"/>
        <w:rPr>
          <w:lang w:val="en-US"/>
        </w:rPr>
      </w:pPr>
    </w:p>
    <w:p w:rsidR="00F86B23" w:rsidRDefault="00F86B23" w:rsidP="00F86B23">
      <w:pPr>
        <w:pStyle w:val="-"/>
      </w:pPr>
    </w:p>
    <w:p w:rsidR="002C0DF4" w:rsidRDefault="006D79C0" w:rsidP="00F86B23">
      <w:pPr>
        <w:pStyle w:val="-"/>
        <w:rPr>
          <w:rStyle w:val="FontStyle33"/>
          <w:rFonts w:cs="Times New Roman"/>
          <w:color w:val="auto"/>
          <w:sz w:val="20"/>
          <w:szCs w:val="20"/>
        </w:rPr>
      </w:pPr>
      <w:r>
        <w:rPr>
          <w:lang w:val="en-US"/>
        </w:rPr>
        <w:br w:type="page"/>
      </w:r>
    </w:p>
    <w:p w:rsidR="002C0DF4" w:rsidRPr="005846FE" w:rsidRDefault="007A198C" w:rsidP="00AB18CF">
      <w:pPr>
        <w:pStyle w:val="M-1"/>
        <w:numPr>
          <w:ilvl w:val="0"/>
          <w:numId w:val="20"/>
        </w:numPr>
      </w:pPr>
      <w:bookmarkStart w:id="16" w:name="_Toc3297880"/>
      <w:r w:rsidRPr="005846FE">
        <w:lastRenderedPageBreak/>
        <w:t>REFERENCES</w:t>
      </w:r>
      <w:bookmarkEnd w:id="16"/>
    </w:p>
    <w:p w:rsidR="00D4402B" w:rsidRDefault="00D4402B" w:rsidP="00D4402B">
      <w:pPr>
        <w:pStyle w:val="HMstileChar"/>
      </w:pPr>
    </w:p>
    <w:p w:rsidR="0053797F" w:rsidRPr="0053797F" w:rsidRDefault="0053797F" w:rsidP="0053797F">
      <w:pPr>
        <w:pStyle w:val="-"/>
        <w:ind w:left="567" w:hanging="567"/>
        <w:rPr>
          <w:lang w:val="en-US"/>
        </w:rPr>
      </w:pPr>
      <w:r w:rsidRPr="0053797F">
        <w:rPr>
          <w:lang w:val="en-US"/>
        </w:rPr>
        <w:t>Abrahamson, N., Gregor, N. &amp; Addo, K., 2016. BC Hydro ground motion prediction equations for subduction earthquakes. Earthquake Psectra, 32(1), pp. 23-44.</w:t>
      </w:r>
    </w:p>
    <w:p w:rsidR="0053797F" w:rsidRPr="0053797F" w:rsidRDefault="0053797F" w:rsidP="0053797F">
      <w:pPr>
        <w:pStyle w:val="-"/>
        <w:ind w:left="567" w:hanging="567"/>
        <w:rPr>
          <w:lang w:val="en-US"/>
        </w:rPr>
      </w:pPr>
      <w:r w:rsidRPr="0053797F">
        <w:rPr>
          <w:lang w:val="en-US"/>
        </w:rPr>
        <w:t>Abrahamson, N., Silva, W. &amp; Kamai, R., 2013. Update of the AS08 ground-motion prediction equations based on the NGA-West2 data set, Berkeley: PEER2013/04, Pacific Earthquake Engineering Research Center Headquaters, University of California.</w:t>
      </w:r>
    </w:p>
    <w:p w:rsidR="0053797F" w:rsidRPr="0053797F" w:rsidRDefault="0053797F" w:rsidP="0053797F">
      <w:pPr>
        <w:pStyle w:val="-"/>
        <w:ind w:left="567" w:hanging="567"/>
        <w:rPr>
          <w:lang w:val="en-US"/>
        </w:rPr>
      </w:pPr>
      <w:r w:rsidRPr="0053797F">
        <w:rPr>
          <w:lang w:val="en-US"/>
        </w:rPr>
        <w:t>Akkar, S., Sandıkkaya, M. &amp; Bommer, J., 2014. Empirical ground-motion models for point-andextended-source crustal earthquake scenarios in Europe and the Middle East. Bulletin of Earthquake Engineering, 1(12), pp. 359-387.</w:t>
      </w:r>
    </w:p>
    <w:p w:rsidR="0053797F" w:rsidRPr="0053797F" w:rsidRDefault="0053797F" w:rsidP="0053797F">
      <w:pPr>
        <w:pStyle w:val="-"/>
        <w:ind w:left="567" w:hanging="567"/>
        <w:rPr>
          <w:lang w:val="en-US"/>
        </w:rPr>
      </w:pPr>
      <w:r w:rsidRPr="0053797F">
        <w:rPr>
          <w:lang w:val="en-US"/>
        </w:rPr>
        <w:t>Ambraseys, N.N. (2001). The Kresna Earthquake of 1904 in Bulgaria. Annali dl Geofisica, 44 (1), pp. 95-117.</w:t>
      </w:r>
    </w:p>
    <w:p w:rsidR="0053797F" w:rsidRPr="0053797F" w:rsidRDefault="0053797F" w:rsidP="0053797F">
      <w:pPr>
        <w:pStyle w:val="-"/>
        <w:ind w:left="567" w:hanging="567"/>
        <w:rPr>
          <w:lang w:val="en-US"/>
        </w:rPr>
      </w:pPr>
      <w:r w:rsidRPr="0053797F">
        <w:rPr>
          <w:lang w:val="en-US"/>
        </w:rPr>
        <w:t xml:space="preserve">Ambraseys, N.N. (2009) Earthquakes in the Mediterranean and Middle East. A Multidisciplinary Study </w:t>
      </w:r>
      <w:r w:rsidRPr="0053797F">
        <w:rPr>
          <w:lang w:val="en-US"/>
        </w:rPr>
        <w:t>of Seismicity</w:t>
      </w:r>
      <w:r w:rsidRPr="0053797F">
        <w:rPr>
          <w:lang w:val="en-US"/>
        </w:rPr>
        <w:t xml:space="preserve"> up to 1900.Cambridge University Press, New York, 947 pp.</w:t>
      </w:r>
    </w:p>
    <w:p w:rsidR="0053797F" w:rsidRPr="0053797F" w:rsidRDefault="0053797F" w:rsidP="0053797F">
      <w:pPr>
        <w:pStyle w:val="-"/>
        <w:ind w:left="567" w:hanging="567"/>
        <w:rPr>
          <w:lang w:val="en-US"/>
        </w:rPr>
      </w:pPr>
      <w:r w:rsidRPr="0053797F">
        <w:rPr>
          <w:lang w:val="en-US"/>
        </w:rPr>
        <w:t>ASCE/SEI 41-13, 2014. Seismic evaluationand retrofit of existing buildings, s.l.: s.n.</w:t>
      </w:r>
    </w:p>
    <w:p w:rsidR="0053797F" w:rsidRPr="0053797F" w:rsidRDefault="0053797F" w:rsidP="0053797F">
      <w:pPr>
        <w:pStyle w:val="-"/>
        <w:ind w:left="567" w:hanging="567"/>
        <w:rPr>
          <w:lang w:val="en-US"/>
        </w:rPr>
      </w:pPr>
      <w:r w:rsidRPr="0053797F">
        <w:rPr>
          <w:lang w:val="en-US"/>
        </w:rPr>
        <w:t>ATC, 1996. Seismic evaluation and retrofit of concrete buildings, ATC-40 Report, Volumes 1 &amp; 2, Redwood City, California: s.n.</w:t>
      </w:r>
    </w:p>
    <w:p w:rsidR="0053797F" w:rsidRPr="0053797F" w:rsidRDefault="0053797F" w:rsidP="0053797F">
      <w:pPr>
        <w:pStyle w:val="-"/>
        <w:ind w:left="567" w:hanging="567"/>
        <w:rPr>
          <w:lang w:val="en-US"/>
        </w:rPr>
      </w:pPr>
      <w:r w:rsidRPr="0053797F">
        <w:rPr>
          <w:lang w:val="en-US"/>
        </w:rPr>
        <w:t>Bindi, D. et al., 2014. Pan-European ground-motion prediction equations for the average horizontal component of PGA, PGV, and 5 %-damped PSA at spectral periods up to 3.0 s using the RESORCE dataset. Bulletin of Earthquake Engineering, , 12(1), pp. 431-448.</w:t>
      </w:r>
    </w:p>
    <w:p w:rsidR="0053797F" w:rsidRPr="0053797F" w:rsidRDefault="0053797F" w:rsidP="0053797F">
      <w:pPr>
        <w:pStyle w:val="-"/>
        <w:ind w:left="567" w:hanging="567"/>
        <w:rPr>
          <w:lang w:val="en-US"/>
        </w:rPr>
      </w:pPr>
      <w:r w:rsidRPr="0053797F">
        <w:rPr>
          <w:lang w:val="en-US"/>
        </w:rPr>
        <w:t>Campbell, K. W. &amp; Bozorgnia, Y., 2014. NGA-West2 Ground Motion Model for the Average Horizontal Components of PGA, PGV, and 5% Damped Linear Acceleration Response Spectra. Earthquake Spectra, 30(3), pp. 1087-1115.</w:t>
      </w:r>
    </w:p>
    <w:p w:rsidR="0053797F" w:rsidRPr="0053797F" w:rsidRDefault="0053797F" w:rsidP="0053797F">
      <w:pPr>
        <w:pStyle w:val="-"/>
        <w:ind w:left="567" w:hanging="567"/>
        <w:rPr>
          <w:lang w:val="en-US"/>
        </w:rPr>
      </w:pPr>
      <w:r w:rsidRPr="0053797F">
        <w:rPr>
          <w:lang w:val="en-US"/>
        </w:rPr>
        <w:t>FEMA 440, A., 2005. Improvement of nonlinear static seismic analysis procedures, Washington, D.C.: s.n.</w:t>
      </w:r>
    </w:p>
    <w:p w:rsidR="0053797F" w:rsidRPr="0053797F" w:rsidRDefault="0053797F" w:rsidP="0053797F">
      <w:pPr>
        <w:pStyle w:val="-"/>
        <w:ind w:left="567" w:hanging="567"/>
        <w:rPr>
          <w:lang w:val="en-US"/>
        </w:rPr>
      </w:pPr>
      <w:r w:rsidRPr="0053797F">
        <w:rPr>
          <w:lang w:val="en-US"/>
        </w:rPr>
        <w:t>FEMA P-58-1 ATC, 2012. Seismic performance assessment of buildings. Volume 1 - Methodology, Washington, D.C.: s.n.</w:t>
      </w:r>
    </w:p>
    <w:p w:rsidR="0053797F" w:rsidRPr="0053797F" w:rsidRDefault="0053797F" w:rsidP="0053797F">
      <w:pPr>
        <w:pStyle w:val="-"/>
        <w:ind w:left="567" w:hanging="567"/>
        <w:rPr>
          <w:lang w:val="en-US"/>
        </w:rPr>
      </w:pPr>
      <w:r w:rsidRPr="0053797F">
        <w:rPr>
          <w:lang w:val="en-US"/>
        </w:rPr>
        <w:t>Glavcheva, R. Matova, M. (2014). 120th Anniversary of Seismology in Bulgaria: milestones, development and achievements. Boletín de Geología, Vol. 36, N° 2, julio-diciembre de 2014.</w:t>
      </w:r>
    </w:p>
    <w:p w:rsidR="0053797F" w:rsidRPr="0053797F" w:rsidRDefault="0053797F" w:rsidP="0053797F">
      <w:pPr>
        <w:pStyle w:val="-"/>
        <w:ind w:left="567" w:hanging="567"/>
        <w:rPr>
          <w:lang w:val="en-US"/>
        </w:rPr>
      </w:pPr>
      <w:r w:rsidRPr="0053797F">
        <w:rPr>
          <w:lang w:val="en-US"/>
        </w:rPr>
        <w:t>Lin, P. &amp; Lee, C., 2008. Ground motion attenuation relationships for sucduction zone earthuquakes in Northeastern Taiwan. Bulletin of the Seismological Society of America, Volume 98, pp. 220-240.</w:t>
      </w:r>
    </w:p>
    <w:p w:rsidR="0053797F" w:rsidRPr="0053797F" w:rsidRDefault="0053797F" w:rsidP="0053797F">
      <w:pPr>
        <w:pStyle w:val="-"/>
        <w:ind w:left="567" w:hanging="567"/>
        <w:rPr>
          <w:lang w:val="en-US"/>
        </w:rPr>
      </w:pPr>
      <w:r w:rsidRPr="0053797F">
        <w:rPr>
          <w:lang w:val="en-US"/>
        </w:rPr>
        <w:t>Matova, M. (2000). Recent geological activity along the northeastern Bulgarian Black Sea coast. Geological Quarterly, 2000, 44 (4): 355-361</w:t>
      </w:r>
    </w:p>
    <w:p w:rsidR="0053797F" w:rsidRPr="0053797F" w:rsidRDefault="0053797F" w:rsidP="0053797F">
      <w:pPr>
        <w:pStyle w:val="-"/>
        <w:ind w:left="567" w:hanging="567"/>
        <w:rPr>
          <w:lang w:val="en-US"/>
        </w:rPr>
      </w:pPr>
      <w:r w:rsidRPr="0053797F">
        <w:rPr>
          <w:lang w:val="en-US"/>
        </w:rPr>
        <w:t>Orlinov R., 2015. Нелинейно поведение на едропанелни конструкции</w:t>
      </w:r>
      <w:r w:rsidR="004F3D2D">
        <w:rPr>
          <w:lang w:val="en-US"/>
        </w:rPr>
        <w:t xml:space="preserve"> (</w:t>
      </w:r>
      <w:r w:rsidR="004F3D2D" w:rsidRPr="004F3D2D">
        <w:rPr>
          <w:lang w:val="en-US"/>
        </w:rPr>
        <w:t>Non-linear behavior of panel structures</w:t>
      </w:r>
      <w:r w:rsidR="004F3D2D">
        <w:rPr>
          <w:lang w:val="en-US"/>
        </w:rPr>
        <w:t>)</w:t>
      </w:r>
      <w:r w:rsidRPr="0053797F">
        <w:rPr>
          <w:lang w:val="en-US"/>
        </w:rPr>
        <w:t>, Sofia: s.n.</w:t>
      </w:r>
    </w:p>
    <w:p w:rsidR="0053797F" w:rsidRPr="0053797F" w:rsidRDefault="0053797F" w:rsidP="0053797F">
      <w:pPr>
        <w:pStyle w:val="-"/>
        <w:ind w:left="567" w:hanging="567"/>
        <w:rPr>
          <w:lang w:val="en-US"/>
        </w:rPr>
      </w:pPr>
      <w:r w:rsidRPr="0053797F">
        <w:rPr>
          <w:lang w:val="en-US"/>
        </w:rPr>
        <w:t>Pavel, F., Vacareanu, R., Radulian, M. &amp; Cioflan, C., 2016. An updated probabilistic seismic hazard assessment for Romania and comparison with the approach and outcomes of the SHARE project. Pure and Applied Geophysics, pp. 1881-1905.</w:t>
      </w:r>
    </w:p>
    <w:p w:rsidR="0053797F" w:rsidRPr="0053797F" w:rsidRDefault="0053797F" w:rsidP="0053797F">
      <w:pPr>
        <w:pStyle w:val="-"/>
        <w:ind w:left="567" w:hanging="567"/>
        <w:rPr>
          <w:lang w:val="en-US"/>
        </w:rPr>
      </w:pPr>
      <w:r w:rsidRPr="0053797F">
        <w:rPr>
          <w:lang w:val="en-US"/>
        </w:rPr>
        <w:t>Rossetto, T. &amp; Elnashai, A., 2003. Derivation of vulnerability functions for European-type RC structures based on observational data. Engineering Structures, Volume 25, pp. 1241-1263.</w:t>
      </w:r>
    </w:p>
    <w:p w:rsidR="0053797F" w:rsidRPr="0053797F" w:rsidRDefault="0053797F" w:rsidP="0053797F">
      <w:pPr>
        <w:pStyle w:val="-"/>
        <w:ind w:left="567" w:hanging="567"/>
        <w:rPr>
          <w:lang w:val="en-US"/>
        </w:rPr>
      </w:pPr>
      <w:r w:rsidRPr="0053797F">
        <w:rPr>
          <w:lang w:val="en-US"/>
        </w:rPr>
        <w:t>Solak</w:t>
      </w:r>
      <w:r w:rsidR="00000920">
        <w:rPr>
          <w:lang w:val="en-US"/>
        </w:rPr>
        <w:t xml:space="preserve">ov, D. </w:t>
      </w:r>
      <w:r w:rsidRPr="0053797F">
        <w:rPr>
          <w:lang w:val="en-US"/>
        </w:rPr>
        <w:t>Simeonova S, Christoskov L., Alexandrova I., Trifonova P., Dimitrova L., 2009. Project report: “Microseismic zoning of Bulgaria according to EC8”, Geophysical Inst.-BAS, S., pp 79.</w:t>
      </w:r>
    </w:p>
    <w:p w:rsidR="0053797F" w:rsidRPr="0053797F" w:rsidRDefault="0053797F" w:rsidP="0053797F">
      <w:pPr>
        <w:pStyle w:val="-"/>
        <w:ind w:left="567" w:hanging="567"/>
        <w:rPr>
          <w:lang w:val="en-US"/>
        </w:rPr>
      </w:pPr>
      <w:r w:rsidRPr="0053797F">
        <w:rPr>
          <w:lang w:val="en-US"/>
        </w:rPr>
        <w:lastRenderedPageBreak/>
        <w:t>Tari, G., O. Dicea, J. Faulkerson, G. Georgiev, S. Popov, M. Stefanescu, G. Weir. 1997. Cimmerian and Alpine Stratigraphy and Structural Evolution of the Moesian Platform (Romania/Bulgaria). In: - Robinson A. G. (Ed.) Regional and Petrolium geology of the Black Sea and surrounded region: AAPG Memoir 68, 63-90.</w:t>
      </w:r>
    </w:p>
    <w:p w:rsidR="0053797F" w:rsidRPr="0053797F" w:rsidRDefault="0053797F" w:rsidP="0053797F">
      <w:pPr>
        <w:pStyle w:val="-"/>
        <w:ind w:left="567" w:hanging="567"/>
        <w:rPr>
          <w:lang w:val="en-US"/>
        </w:rPr>
      </w:pPr>
      <w:r w:rsidRPr="0053797F">
        <w:rPr>
          <w:lang w:val="en-US"/>
        </w:rPr>
        <w:t>Watzof, Sp. (1902). The earthquakes in Bulgaria. Report on the earthquakes felt in XIXc., Central Meteorological Institute, Sofia, N 1 (in Bulgarian, abstract in French).</w:t>
      </w:r>
    </w:p>
    <w:p w:rsidR="00FF7543" w:rsidRDefault="0053797F" w:rsidP="00FF7543">
      <w:pPr>
        <w:pStyle w:val="-"/>
        <w:ind w:left="567" w:hanging="567"/>
        <w:rPr>
          <w:lang w:val="en-US"/>
        </w:rPr>
      </w:pPr>
      <w:r w:rsidRPr="0053797F">
        <w:rPr>
          <w:lang w:val="en-US"/>
        </w:rPr>
        <w:t>Youngs, R., Chiou, B.-J., Silva, W. &amp; Humphrey, J., 1997. Strong ground motion attenuation relationships for subduction zone earthquakes. Seismological Research Letters, Volume 68, pp. 58-73.</w:t>
      </w:r>
    </w:p>
    <w:p w:rsidR="00FF7543" w:rsidRDefault="00FF7543" w:rsidP="00FF7543">
      <w:pPr>
        <w:pStyle w:val="-"/>
        <w:ind w:left="567" w:hanging="567"/>
        <w:rPr>
          <w:lang w:val="en-US"/>
        </w:rPr>
      </w:pPr>
    </w:p>
    <w:p w:rsidR="00FF7543" w:rsidRDefault="00FF7543" w:rsidP="00FF7543">
      <w:pPr>
        <w:pStyle w:val="-"/>
        <w:ind w:left="567" w:hanging="567"/>
        <w:rPr>
          <w:lang w:val="en-US"/>
        </w:rPr>
      </w:pPr>
    </w:p>
    <w:p w:rsidR="00FF7543" w:rsidRDefault="00FF7543" w:rsidP="00FF7543">
      <w:pPr>
        <w:pStyle w:val="-"/>
        <w:ind w:left="567" w:hanging="567"/>
        <w:rPr>
          <w:lang w:val="en-US"/>
        </w:rPr>
        <w:sectPr w:rsidR="00FF7543" w:rsidSect="00360BF1">
          <w:headerReference w:type="default" r:id="rId10"/>
          <w:pgSz w:w="11906" w:h="16838" w:code="9"/>
          <w:pgMar w:top="567" w:right="851" w:bottom="567" w:left="1418" w:header="425" w:footer="425" w:gutter="0"/>
          <w:pgNumType w:start="0"/>
          <w:cols w:space="708"/>
          <w:titlePg/>
          <w:docGrid w:linePitch="360"/>
        </w:sectPr>
      </w:pPr>
    </w:p>
    <w:p w:rsidR="009B3BA8" w:rsidRDefault="009B3BA8" w:rsidP="00FF7543">
      <w:pPr>
        <w:ind w:firstLine="0"/>
      </w:pPr>
    </w:p>
    <w:sectPr w:rsidR="009B3BA8" w:rsidSect="00360BF1">
      <w:headerReference w:type="default" r:id="rId11"/>
      <w:pgSz w:w="11906" w:h="16838"/>
      <w:pgMar w:top="851" w:right="851" w:bottom="851"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5DA" w:rsidRDefault="00AB65DA">
      <w:pPr>
        <w:spacing w:line="240" w:lineRule="auto"/>
      </w:pPr>
      <w:r>
        <w:separator/>
      </w:r>
    </w:p>
  </w:endnote>
  <w:endnote w:type="continuationSeparator" w:id="0">
    <w:p w:rsidR="00AB65DA" w:rsidRDefault="00AB6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utura Bk">
    <w:altName w:val="Century Gothic"/>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5DA" w:rsidRDefault="00AB65DA">
      <w:pPr>
        <w:spacing w:line="240" w:lineRule="auto"/>
      </w:pPr>
      <w:r>
        <w:separator/>
      </w:r>
    </w:p>
  </w:footnote>
  <w:footnote w:type="continuationSeparator" w:id="0">
    <w:p w:rsidR="00AB65DA" w:rsidRDefault="00AB65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3"/>
      <w:gridCol w:w="2553"/>
    </w:tblGrid>
    <w:tr w:rsidR="00115BD9">
      <w:trPr>
        <w:trHeight w:val="610"/>
        <w:jc w:val="center"/>
      </w:trPr>
      <w:tc>
        <w:tcPr>
          <w:tcW w:w="7053" w:type="dxa"/>
          <w:vAlign w:val="center"/>
        </w:tcPr>
        <w:p w:rsidR="00115BD9" w:rsidRPr="008215B5" w:rsidRDefault="004B0672" w:rsidP="00000920">
          <w:pPr>
            <w:pStyle w:val="HMstile"/>
            <w:spacing w:line="240" w:lineRule="auto"/>
            <w:ind w:firstLine="0"/>
            <w:jc w:val="center"/>
            <w:rPr>
              <w:lang w:val="en-US"/>
            </w:rPr>
          </w:pPr>
          <w:r w:rsidRPr="004B0672">
            <w:rPr>
              <w:rFonts w:ascii="Times New Roman" w:hAnsi="Times New Roman"/>
              <w:lang w:val="en-US"/>
            </w:rPr>
            <w:t xml:space="preserve">REVIEW </w:t>
          </w:r>
          <w:r w:rsidR="00115BD9" w:rsidRPr="004B0672">
            <w:rPr>
              <w:rFonts w:ascii="Times New Roman" w:hAnsi="Times New Roman"/>
              <w:lang w:val="en-US"/>
            </w:rPr>
            <w:t>REPORT</w:t>
          </w:r>
          <w:r w:rsidRPr="004B0672">
            <w:rPr>
              <w:rFonts w:ascii="Times New Roman" w:hAnsi="Times New Roman"/>
              <w:lang w:val="en-US"/>
            </w:rPr>
            <w:t xml:space="preserve"> of </w:t>
          </w:r>
          <w:r>
            <w:rPr>
              <w:rFonts w:ascii="Times New Roman" w:hAnsi="Times New Roman"/>
              <w:lang w:val="en-US"/>
            </w:rPr>
            <w:t>“</w:t>
          </w:r>
          <w:r w:rsidRPr="004B0672">
            <w:rPr>
              <w:rFonts w:ascii="Times New Roman" w:hAnsi="Times New Roman"/>
              <w:lang w:val="en-US" w:bidi="en-US"/>
            </w:rPr>
            <w:t>Seismic PRA of pre-1990 Multi-family Structures in Bulgaria and E</w:t>
          </w:r>
          <w:r>
            <w:rPr>
              <w:rFonts w:ascii="Times New Roman" w:hAnsi="Times New Roman"/>
              <w:lang w:val="en-US" w:bidi="en-US"/>
            </w:rPr>
            <w:t>CA</w:t>
          </w:r>
          <w:r w:rsidRPr="004B0672">
            <w:rPr>
              <w:rFonts w:ascii="Times New Roman" w:hAnsi="Times New Roman"/>
              <w:lang w:val="en-US" w:bidi="en-US"/>
            </w:rPr>
            <w:t xml:space="preserve"> region</w:t>
          </w:r>
          <w:r>
            <w:rPr>
              <w:rFonts w:ascii="Times New Roman" w:hAnsi="Times New Roman"/>
              <w:lang w:val="en-US" w:bidi="en-US"/>
            </w:rPr>
            <w:t>”</w:t>
          </w:r>
          <w:r w:rsidRPr="004B0672">
            <w:rPr>
              <w:rFonts w:ascii="Times New Roman" w:hAnsi="Times New Roman"/>
              <w:lang w:val="en-US" w:bidi="en-US"/>
            </w:rPr>
            <w:t xml:space="preserve"> (Selection #1249310)</w:t>
          </w:r>
        </w:p>
      </w:tc>
      <w:tc>
        <w:tcPr>
          <w:tcW w:w="2553" w:type="dxa"/>
          <w:vAlign w:val="center"/>
        </w:tcPr>
        <w:p w:rsidR="00115BD9" w:rsidRPr="00C93326" w:rsidRDefault="004E3D81" w:rsidP="008B1747">
          <w:pPr>
            <w:pStyle w:val="HMstile"/>
            <w:spacing w:line="240" w:lineRule="auto"/>
            <w:ind w:firstLine="0"/>
            <w:jc w:val="center"/>
            <w:rPr>
              <w:rFonts w:ascii="Times New Roman" w:hAnsi="Times New Roman"/>
              <w:sz w:val="16"/>
              <w:szCs w:val="16"/>
              <w:lang w:val="en-US"/>
            </w:rPr>
          </w:pPr>
          <w:r>
            <w:rPr>
              <w:rFonts w:ascii="Times New Roman" w:hAnsi="Times New Roman"/>
              <w:sz w:val="16"/>
              <w:szCs w:val="16"/>
              <w:lang w:val="en-US"/>
            </w:rPr>
            <w:t xml:space="preserve"> </w:t>
          </w:r>
        </w:p>
        <w:p w:rsidR="00115BD9" w:rsidRPr="002C4A6E" w:rsidRDefault="004E3D81" w:rsidP="00FF7543">
          <w:pPr>
            <w:pStyle w:val="HMstile"/>
            <w:ind w:firstLine="0"/>
            <w:jc w:val="center"/>
            <w:rPr>
              <w:sz w:val="18"/>
              <w:szCs w:val="18"/>
              <w:lang w:val="en-US"/>
            </w:rPr>
          </w:pPr>
          <w:r>
            <w:rPr>
              <w:rFonts w:ascii="Times New Roman" w:hAnsi="Times New Roman"/>
              <w:sz w:val="18"/>
              <w:szCs w:val="18"/>
              <w:lang w:val="en-US"/>
            </w:rPr>
            <w:t>page</w:t>
          </w:r>
          <w:r w:rsidR="00115BD9" w:rsidRPr="00EE2D63">
            <w:rPr>
              <w:rFonts w:ascii="Times New Roman" w:hAnsi="Times New Roman"/>
              <w:sz w:val="18"/>
              <w:szCs w:val="18"/>
            </w:rPr>
            <w:t>.</w:t>
          </w:r>
          <w:r w:rsidR="00115BD9" w:rsidRPr="00EE2D63">
            <w:rPr>
              <w:rFonts w:ascii="Times New Roman" w:hAnsi="Times New Roman"/>
              <w:sz w:val="18"/>
              <w:szCs w:val="18"/>
            </w:rPr>
            <w:fldChar w:fldCharType="begin"/>
          </w:r>
          <w:r w:rsidR="00115BD9" w:rsidRPr="00EE2D63">
            <w:rPr>
              <w:rFonts w:ascii="Times New Roman" w:hAnsi="Times New Roman"/>
              <w:sz w:val="18"/>
              <w:szCs w:val="18"/>
            </w:rPr>
            <w:instrText xml:space="preserve"> PAGE </w:instrText>
          </w:r>
          <w:r w:rsidR="00115BD9" w:rsidRPr="00EE2D63">
            <w:rPr>
              <w:rFonts w:ascii="Times New Roman" w:hAnsi="Times New Roman"/>
              <w:sz w:val="18"/>
              <w:szCs w:val="18"/>
            </w:rPr>
            <w:fldChar w:fldCharType="separate"/>
          </w:r>
          <w:r w:rsidR="003E4CAC">
            <w:rPr>
              <w:rFonts w:ascii="Times New Roman" w:hAnsi="Times New Roman"/>
              <w:noProof/>
              <w:sz w:val="18"/>
              <w:szCs w:val="18"/>
            </w:rPr>
            <w:t>8</w:t>
          </w:r>
          <w:r w:rsidR="00115BD9" w:rsidRPr="00EE2D63">
            <w:rPr>
              <w:rFonts w:ascii="Times New Roman" w:hAnsi="Times New Roman"/>
              <w:sz w:val="18"/>
              <w:szCs w:val="18"/>
            </w:rPr>
            <w:fldChar w:fldCharType="end"/>
          </w:r>
          <w:r w:rsidR="00115BD9" w:rsidRPr="00EE2D63">
            <w:rPr>
              <w:rFonts w:ascii="Times New Roman" w:hAnsi="Times New Roman"/>
              <w:sz w:val="18"/>
              <w:szCs w:val="18"/>
            </w:rPr>
            <w:t xml:space="preserve"> </w:t>
          </w:r>
          <w:r>
            <w:rPr>
              <w:rFonts w:ascii="Times New Roman" w:hAnsi="Times New Roman"/>
              <w:sz w:val="18"/>
              <w:szCs w:val="18"/>
              <w:lang w:val="en-US"/>
            </w:rPr>
            <w:t>of</w:t>
          </w:r>
          <w:r w:rsidR="00115BD9" w:rsidRPr="00EE2D63">
            <w:rPr>
              <w:rFonts w:ascii="Times New Roman" w:hAnsi="Times New Roman"/>
              <w:sz w:val="18"/>
              <w:szCs w:val="18"/>
            </w:rPr>
            <w:t xml:space="preserve"> </w:t>
          </w:r>
          <w:r w:rsidR="00C816B6">
            <w:rPr>
              <w:rFonts w:ascii="Times New Roman" w:hAnsi="Times New Roman"/>
              <w:sz w:val="18"/>
              <w:szCs w:val="18"/>
              <w:lang w:val="en-US"/>
            </w:rPr>
            <w:t>1</w:t>
          </w:r>
          <w:r w:rsidR="00FF7543">
            <w:rPr>
              <w:rFonts w:ascii="Times New Roman" w:hAnsi="Times New Roman"/>
              <w:sz w:val="18"/>
              <w:szCs w:val="18"/>
              <w:lang w:val="en-US"/>
            </w:rPr>
            <w:t>8</w:t>
          </w:r>
        </w:p>
      </w:tc>
    </w:tr>
  </w:tbl>
  <w:p w:rsidR="00115BD9" w:rsidRDefault="00115BD9">
    <w:pPr>
      <w:rPr>
        <w:sz w:val="10"/>
        <w:szCs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D9" w:rsidRPr="00360BF1" w:rsidRDefault="00115BD9" w:rsidP="00360B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1CB"/>
    <w:multiLevelType w:val="multilevel"/>
    <w:tmpl w:val="F7AE69FA"/>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7B445D8"/>
    <w:multiLevelType w:val="hybridMultilevel"/>
    <w:tmpl w:val="0DAA97F8"/>
    <w:lvl w:ilvl="0" w:tplc="84264ED0">
      <w:start w:val="1"/>
      <w:numFmt w:val="bullet"/>
      <w:pStyle w:val="HM"/>
      <w:lvlText w:val=""/>
      <w:lvlJc w:val="left"/>
      <w:pPr>
        <w:tabs>
          <w:tab w:val="num" w:pos="737"/>
        </w:tabs>
        <w:ind w:left="0" w:firstLine="567"/>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B3D11"/>
    <w:multiLevelType w:val="multilevel"/>
    <w:tmpl w:val="22BE3196"/>
    <w:lvl w:ilvl="0">
      <w:start w:val="4"/>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4F774FB"/>
    <w:multiLevelType w:val="hybridMultilevel"/>
    <w:tmpl w:val="6D0A9238"/>
    <w:lvl w:ilvl="0" w:tplc="BC020EC2">
      <w:start w:val="1"/>
      <w:numFmt w:val="decimal"/>
      <w:pStyle w:val="Ref"/>
      <w:lvlText w:val="[%1]"/>
      <w:lvlJc w:val="left"/>
      <w:pPr>
        <w:tabs>
          <w:tab w:val="num" w:pos="1134"/>
        </w:tabs>
        <w:ind w:left="1134" w:hanging="567"/>
      </w:pPr>
      <w:rPr>
        <w:rFonts w:hint="default"/>
        <w:b w:val="0"/>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7B3669F"/>
    <w:multiLevelType w:val="hybridMultilevel"/>
    <w:tmpl w:val="7F16E128"/>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5" w15:restartNumberingAfterBreak="0">
    <w:nsid w:val="20243BFD"/>
    <w:multiLevelType w:val="multilevel"/>
    <w:tmpl w:val="386C0A4E"/>
    <w:lvl w:ilvl="0">
      <w:start w:val="4"/>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21737CAE"/>
    <w:multiLevelType w:val="hybridMultilevel"/>
    <w:tmpl w:val="D920416A"/>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7" w15:restartNumberingAfterBreak="0">
    <w:nsid w:val="22636E04"/>
    <w:multiLevelType w:val="hybridMultilevel"/>
    <w:tmpl w:val="D092F6E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8" w15:restartNumberingAfterBreak="0">
    <w:nsid w:val="22C810C5"/>
    <w:multiLevelType w:val="hybridMultilevel"/>
    <w:tmpl w:val="22DE1FBC"/>
    <w:lvl w:ilvl="0" w:tplc="0402000F">
      <w:start w:val="1"/>
      <w:numFmt w:val="decimal"/>
      <w:lvlText w:val="%1."/>
      <w:lvlJc w:val="left"/>
      <w:pPr>
        <w:ind w:left="1854" w:hanging="360"/>
      </w:pPr>
    </w:lvl>
    <w:lvl w:ilvl="1" w:tplc="04020019" w:tentative="1">
      <w:start w:val="1"/>
      <w:numFmt w:val="lowerLetter"/>
      <w:lvlText w:val="%2."/>
      <w:lvlJc w:val="left"/>
      <w:pPr>
        <w:ind w:left="2574" w:hanging="360"/>
      </w:pPr>
    </w:lvl>
    <w:lvl w:ilvl="2" w:tplc="0402001B" w:tentative="1">
      <w:start w:val="1"/>
      <w:numFmt w:val="lowerRoman"/>
      <w:lvlText w:val="%3."/>
      <w:lvlJc w:val="right"/>
      <w:pPr>
        <w:ind w:left="3294" w:hanging="180"/>
      </w:pPr>
    </w:lvl>
    <w:lvl w:ilvl="3" w:tplc="0402000F" w:tentative="1">
      <w:start w:val="1"/>
      <w:numFmt w:val="decimal"/>
      <w:lvlText w:val="%4."/>
      <w:lvlJc w:val="left"/>
      <w:pPr>
        <w:ind w:left="4014" w:hanging="360"/>
      </w:pPr>
    </w:lvl>
    <w:lvl w:ilvl="4" w:tplc="04020019" w:tentative="1">
      <w:start w:val="1"/>
      <w:numFmt w:val="lowerLetter"/>
      <w:lvlText w:val="%5."/>
      <w:lvlJc w:val="left"/>
      <w:pPr>
        <w:ind w:left="4734" w:hanging="360"/>
      </w:pPr>
    </w:lvl>
    <w:lvl w:ilvl="5" w:tplc="0402001B" w:tentative="1">
      <w:start w:val="1"/>
      <w:numFmt w:val="lowerRoman"/>
      <w:lvlText w:val="%6."/>
      <w:lvlJc w:val="right"/>
      <w:pPr>
        <w:ind w:left="5454" w:hanging="180"/>
      </w:pPr>
    </w:lvl>
    <w:lvl w:ilvl="6" w:tplc="0402000F" w:tentative="1">
      <w:start w:val="1"/>
      <w:numFmt w:val="decimal"/>
      <w:lvlText w:val="%7."/>
      <w:lvlJc w:val="left"/>
      <w:pPr>
        <w:ind w:left="6174" w:hanging="360"/>
      </w:pPr>
    </w:lvl>
    <w:lvl w:ilvl="7" w:tplc="04020019" w:tentative="1">
      <w:start w:val="1"/>
      <w:numFmt w:val="lowerLetter"/>
      <w:lvlText w:val="%8."/>
      <w:lvlJc w:val="left"/>
      <w:pPr>
        <w:ind w:left="6894" w:hanging="360"/>
      </w:pPr>
    </w:lvl>
    <w:lvl w:ilvl="8" w:tplc="0402001B" w:tentative="1">
      <w:start w:val="1"/>
      <w:numFmt w:val="lowerRoman"/>
      <w:lvlText w:val="%9."/>
      <w:lvlJc w:val="right"/>
      <w:pPr>
        <w:ind w:left="7614" w:hanging="180"/>
      </w:pPr>
    </w:lvl>
  </w:abstractNum>
  <w:abstractNum w:abstractNumId="9" w15:restartNumberingAfterBreak="0">
    <w:nsid w:val="26A70FFE"/>
    <w:multiLevelType w:val="hybridMultilevel"/>
    <w:tmpl w:val="51406876"/>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0" w15:restartNumberingAfterBreak="0">
    <w:nsid w:val="27CE3D52"/>
    <w:multiLevelType w:val="hybridMultilevel"/>
    <w:tmpl w:val="5FD25FB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1" w15:restartNumberingAfterBreak="0">
    <w:nsid w:val="35A82272"/>
    <w:multiLevelType w:val="hybridMultilevel"/>
    <w:tmpl w:val="7444D41C"/>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2" w15:restartNumberingAfterBreak="0">
    <w:nsid w:val="37BB338D"/>
    <w:multiLevelType w:val="multilevel"/>
    <w:tmpl w:val="27BA8664"/>
    <w:lvl w:ilvl="0">
      <w:start w:val="4"/>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3" w15:restartNumberingAfterBreak="0">
    <w:nsid w:val="39791579"/>
    <w:multiLevelType w:val="hybridMultilevel"/>
    <w:tmpl w:val="F4108FBC"/>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4" w15:restartNumberingAfterBreak="0">
    <w:nsid w:val="398F551C"/>
    <w:multiLevelType w:val="hybridMultilevel"/>
    <w:tmpl w:val="A658FDE0"/>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5" w15:restartNumberingAfterBreak="0">
    <w:nsid w:val="3FD2268A"/>
    <w:multiLevelType w:val="hybridMultilevel"/>
    <w:tmpl w:val="468020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77D4216"/>
    <w:multiLevelType w:val="hybridMultilevel"/>
    <w:tmpl w:val="1E7CC5F6"/>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7" w15:restartNumberingAfterBreak="0">
    <w:nsid w:val="48F51579"/>
    <w:multiLevelType w:val="hybridMultilevel"/>
    <w:tmpl w:val="E2D4868A"/>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8" w15:restartNumberingAfterBreak="0">
    <w:nsid w:val="4A3E6A63"/>
    <w:multiLevelType w:val="hybridMultilevel"/>
    <w:tmpl w:val="5246D27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9" w15:restartNumberingAfterBreak="0">
    <w:nsid w:val="4AAA3244"/>
    <w:multiLevelType w:val="multilevel"/>
    <w:tmpl w:val="A75039B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54725469"/>
    <w:multiLevelType w:val="hybridMultilevel"/>
    <w:tmpl w:val="0E9A64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910EBF"/>
    <w:multiLevelType w:val="multilevel"/>
    <w:tmpl w:val="B19ADE2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bg"/>
      </w:rPr>
    </w:lvl>
    <w:lvl w:ilvl="1">
      <w:start w:val="1"/>
      <w:numFmt w:val="upperLetter"/>
      <w:lvlText w:val="%2."/>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634B49"/>
    <w:multiLevelType w:val="hybridMultilevel"/>
    <w:tmpl w:val="D5A6C17A"/>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3" w15:restartNumberingAfterBreak="0">
    <w:nsid w:val="5FFD26CE"/>
    <w:multiLevelType w:val="multilevel"/>
    <w:tmpl w:val="F242519A"/>
    <w:lvl w:ilvl="0">
      <w:start w:val="4"/>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4" w15:restartNumberingAfterBreak="0">
    <w:nsid w:val="63D6548F"/>
    <w:multiLevelType w:val="hybridMultilevel"/>
    <w:tmpl w:val="58FC2AD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672B35BC"/>
    <w:multiLevelType w:val="multilevel"/>
    <w:tmpl w:val="DBC84836"/>
    <w:lvl w:ilvl="0">
      <w:start w:val="1"/>
      <w:numFmt w:val="decimal"/>
      <w:lvlText w:val="%1."/>
      <w:lvlJc w:val="left"/>
      <w:pPr>
        <w:ind w:left="72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6" w15:restartNumberingAfterBreak="0">
    <w:nsid w:val="675B6B70"/>
    <w:multiLevelType w:val="hybridMultilevel"/>
    <w:tmpl w:val="0CEE52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15:restartNumberingAfterBreak="0">
    <w:nsid w:val="68543723"/>
    <w:multiLevelType w:val="multilevel"/>
    <w:tmpl w:val="526C5EB4"/>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28" w15:restartNumberingAfterBreak="0">
    <w:nsid w:val="68E84F9A"/>
    <w:multiLevelType w:val="multilevel"/>
    <w:tmpl w:val="1F72D32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B41FDE"/>
    <w:multiLevelType w:val="multilevel"/>
    <w:tmpl w:val="A022A0E8"/>
    <w:lvl w:ilvl="0">
      <w:start w:val="1"/>
      <w:numFmt w:val="decimal"/>
      <w:lvlText w:val="%1."/>
      <w:lvlJc w:val="left"/>
      <w:pPr>
        <w:tabs>
          <w:tab w:val="num" w:pos="1571"/>
        </w:tabs>
        <w:ind w:left="1571" w:hanging="360"/>
      </w:pPr>
    </w:lvl>
    <w:lvl w:ilvl="1">
      <w:start w:val="1"/>
      <w:numFmt w:val="decimal"/>
      <w:isLgl/>
      <w:lvlText w:val="%1.%2."/>
      <w:lvlJc w:val="left"/>
      <w:pPr>
        <w:tabs>
          <w:tab w:val="num" w:pos="1631"/>
        </w:tabs>
        <w:ind w:left="1631" w:hanging="420"/>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1931"/>
        </w:tabs>
        <w:ind w:left="1931" w:hanging="72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291"/>
        </w:tabs>
        <w:ind w:left="2291" w:hanging="1080"/>
      </w:pPr>
      <w:rPr>
        <w:rFonts w:hint="default"/>
      </w:rPr>
    </w:lvl>
    <w:lvl w:ilvl="6">
      <w:start w:val="1"/>
      <w:numFmt w:val="decimal"/>
      <w:isLgl/>
      <w:lvlText w:val="%1.%2.%3.%4.%5.%6.%7."/>
      <w:lvlJc w:val="left"/>
      <w:pPr>
        <w:tabs>
          <w:tab w:val="num" w:pos="2651"/>
        </w:tabs>
        <w:ind w:left="2651" w:hanging="1440"/>
      </w:pPr>
      <w:rPr>
        <w:rFonts w:hint="default"/>
      </w:rPr>
    </w:lvl>
    <w:lvl w:ilvl="7">
      <w:start w:val="1"/>
      <w:numFmt w:val="decimal"/>
      <w:isLgl/>
      <w:lvlText w:val="%1.%2.%3.%4.%5.%6.%7.%8."/>
      <w:lvlJc w:val="left"/>
      <w:pPr>
        <w:tabs>
          <w:tab w:val="num" w:pos="2651"/>
        </w:tabs>
        <w:ind w:left="2651" w:hanging="1440"/>
      </w:pPr>
      <w:rPr>
        <w:rFonts w:hint="default"/>
      </w:rPr>
    </w:lvl>
    <w:lvl w:ilvl="8">
      <w:start w:val="1"/>
      <w:numFmt w:val="decimal"/>
      <w:isLgl/>
      <w:lvlText w:val="%1.%2.%3.%4.%5.%6.%7.%8.%9."/>
      <w:lvlJc w:val="left"/>
      <w:pPr>
        <w:tabs>
          <w:tab w:val="num" w:pos="3011"/>
        </w:tabs>
        <w:ind w:left="3011" w:hanging="1800"/>
      </w:pPr>
      <w:rPr>
        <w:rFonts w:hint="default"/>
      </w:rPr>
    </w:lvl>
  </w:abstractNum>
  <w:abstractNum w:abstractNumId="30" w15:restartNumberingAfterBreak="0">
    <w:nsid w:val="77512B34"/>
    <w:multiLevelType w:val="hybridMultilevel"/>
    <w:tmpl w:val="4C165AEE"/>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31" w15:restartNumberingAfterBreak="0">
    <w:nsid w:val="79D83574"/>
    <w:multiLevelType w:val="hybridMultilevel"/>
    <w:tmpl w:val="9EC2E76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C4E9B"/>
    <w:multiLevelType w:val="multilevel"/>
    <w:tmpl w:val="C6261A7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4"/>
  </w:num>
  <w:num w:numId="3">
    <w:abstractNumId w:val="1"/>
  </w:num>
  <w:num w:numId="4">
    <w:abstractNumId w:val="3"/>
  </w:num>
  <w:num w:numId="5">
    <w:abstractNumId w:val="31"/>
  </w:num>
  <w:num w:numId="6">
    <w:abstractNumId w:val="6"/>
  </w:num>
  <w:num w:numId="7">
    <w:abstractNumId w:val="12"/>
  </w:num>
  <w:num w:numId="8">
    <w:abstractNumId w:val="19"/>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7"/>
  </w:num>
  <w:num w:numId="13">
    <w:abstractNumId w:val="25"/>
    <w:lvlOverride w:ilvl="0">
      <w:startOverride w:val="4"/>
    </w:lvlOverride>
    <w:lvlOverride w:ilvl="1">
      <w:startOverride w:val="1"/>
    </w:lvlOverride>
  </w:num>
  <w:num w:numId="14">
    <w:abstractNumId w:val="0"/>
  </w:num>
  <w:num w:numId="15">
    <w:abstractNumId w:val="8"/>
  </w:num>
  <w:num w:numId="16">
    <w:abstractNumId w:val="23"/>
    <w:lvlOverride w:ilvl="0">
      <w:startOverride w:val="4"/>
    </w:lvlOverride>
    <w:lvlOverride w:ilvl="1">
      <w:startOverride w:val="6"/>
    </w:lvlOverride>
  </w:num>
  <w:num w:numId="17">
    <w:abstractNumId w:val="5"/>
  </w:num>
  <w:num w:numId="18">
    <w:abstractNumId w:val="29"/>
  </w:num>
  <w:num w:numId="19">
    <w:abstractNumId w:val="2"/>
  </w:num>
  <w:num w:numId="20">
    <w:abstractNumId w:val="27"/>
  </w:num>
  <w:num w:numId="21">
    <w:abstractNumId w:val="17"/>
  </w:num>
  <w:num w:numId="22">
    <w:abstractNumId w:val="9"/>
  </w:num>
  <w:num w:numId="23">
    <w:abstractNumId w:val="30"/>
  </w:num>
  <w:num w:numId="24">
    <w:abstractNumId w:val="13"/>
  </w:num>
  <w:num w:numId="25">
    <w:abstractNumId w:val="16"/>
  </w:num>
  <w:num w:numId="26">
    <w:abstractNumId w:val="14"/>
  </w:num>
  <w:num w:numId="27">
    <w:abstractNumId w:val="11"/>
  </w:num>
  <w:num w:numId="28">
    <w:abstractNumId w:val="28"/>
  </w:num>
  <w:num w:numId="29">
    <w:abstractNumId w:val="21"/>
  </w:num>
  <w:num w:numId="30">
    <w:abstractNumId w:val="32"/>
  </w:num>
  <w:num w:numId="31">
    <w:abstractNumId w:val="4"/>
  </w:num>
  <w:num w:numId="32">
    <w:abstractNumId w:val="18"/>
  </w:num>
  <w:num w:numId="33">
    <w:abstractNumId w:val="22"/>
  </w:num>
  <w:num w:numId="34">
    <w:abstractNumId w:val="10"/>
  </w:num>
  <w:num w:numId="35">
    <w:abstractNumId w:val="26"/>
  </w:num>
  <w:num w:numId="3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58"/>
    <w:rsid w:val="00000920"/>
    <w:rsid w:val="000045B5"/>
    <w:rsid w:val="00005F7D"/>
    <w:rsid w:val="0001287C"/>
    <w:rsid w:val="0001541F"/>
    <w:rsid w:val="00015449"/>
    <w:rsid w:val="000172E3"/>
    <w:rsid w:val="0002139C"/>
    <w:rsid w:val="00021494"/>
    <w:rsid w:val="00021A4C"/>
    <w:rsid w:val="00022563"/>
    <w:rsid w:val="000228AF"/>
    <w:rsid w:val="00023669"/>
    <w:rsid w:val="00024C75"/>
    <w:rsid w:val="00025357"/>
    <w:rsid w:val="000256F8"/>
    <w:rsid w:val="0002699E"/>
    <w:rsid w:val="00032157"/>
    <w:rsid w:val="00032CAE"/>
    <w:rsid w:val="0003472A"/>
    <w:rsid w:val="00034A61"/>
    <w:rsid w:val="00034A97"/>
    <w:rsid w:val="0003534D"/>
    <w:rsid w:val="000362EC"/>
    <w:rsid w:val="000363E0"/>
    <w:rsid w:val="00036D1A"/>
    <w:rsid w:val="00040270"/>
    <w:rsid w:val="00042004"/>
    <w:rsid w:val="0004270C"/>
    <w:rsid w:val="000434ED"/>
    <w:rsid w:val="000442A8"/>
    <w:rsid w:val="000448E1"/>
    <w:rsid w:val="0004636A"/>
    <w:rsid w:val="0004642F"/>
    <w:rsid w:val="00046CBB"/>
    <w:rsid w:val="0005102B"/>
    <w:rsid w:val="00052AA8"/>
    <w:rsid w:val="0005342E"/>
    <w:rsid w:val="0005392D"/>
    <w:rsid w:val="000558AA"/>
    <w:rsid w:val="00055ECC"/>
    <w:rsid w:val="00062C59"/>
    <w:rsid w:val="00063498"/>
    <w:rsid w:val="00063CA0"/>
    <w:rsid w:val="00063D55"/>
    <w:rsid w:val="0006479C"/>
    <w:rsid w:val="00065221"/>
    <w:rsid w:val="0006545A"/>
    <w:rsid w:val="0006584A"/>
    <w:rsid w:val="00066A27"/>
    <w:rsid w:val="0007008E"/>
    <w:rsid w:val="00070A1B"/>
    <w:rsid w:val="00071D02"/>
    <w:rsid w:val="00073C35"/>
    <w:rsid w:val="000750E7"/>
    <w:rsid w:val="000803CC"/>
    <w:rsid w:val="00091B48"/>
    <w:rsid w:val="00091C3A"/>
    <w:rsid w:val="000920CA"/>
    <w:rsid w:val="000928E4"/>
    <w:rsid w:val="00092BBF"/>
    <w:rsid w:val="00094A1B"/>
    <w:rsid w:val="000A3800"/>
    <w:rsid w:val="000A381E"/>
    <w:rsid w:val="000A3C11"/>
    <w:rsid w:val="000A53E1"/>
    <w:rsid w:val="000A6F0E"/>
    <w:rsid w:val="000A7E19"/>
    <w:rsid w:val="000B1DE5"/>
    <w:rsid w:val="000B389C"/>
    <w:rsid w:val="000B5637"/>
    <w:rsid w:val="000C451C"/>
    <w:rsid w:val="000D04EA"/>
    <w:rsid w:val="000D57E7"/>
    <w:rsid w:val="000E21DB"/>
    <w:rsid w:val="000E26AC"/>
    <w:rsid w:val="000E2932"/>
    <w:rsid w:val="000E396D"/>
    <w:rsid w:val="000E3990"/>
    <w:rsid w:val="000E39FF"/>
    <w:rsid w:val="000E51BB"/>
    <w:rsid w:val="000E63D2"/>
    <w:rsid w:val="000F25BA"/>
    <w:rsid w:val="000F4676"/>
    <w:rsid w:val="00100897"/>
    <w:rsid w:val="001013A0"/>
    <w:rsid w:val="00102919"/>
    <w:rsid w:val="00103D75"/>
    <w:rsid w:val="00104DC9"/>
    <w:rsid w:val="001100BB"/>
    <w:rsid w:val="00113E82"/>
    <w:rsid w:val="00115864"/>
    <w:rsid w:val="00115BD9"/>
    <w:rsid w:val="0011608D"/>
    <w:rsid w:val="0012110E"/>
    <w:rsid w:val="00121EE2"/>
    <w:rsid w:val="00121FD1"/>
    <w:rsid w:val="00123C3B"/>
    <w:rsid w:val="00125D17"/>
    <w:rsid w:val="00127968"/>
    <w:rsid w:val="00130378"/>
    <w:rsid w:val="0013446F"/>
    <w:rsid w:val="001356FA"/>
    <w:rsid w:val="00141741"/>
    <w:rsid w:val="00142417"/>
    <w:rsid w:val="001427C5"/>
    <w:rsid w:val="00142F66"/>
    <w:rsid w:val="00150076"/>
    <w:rsid w:val="00151F03"/>
    <w:rsid w:val="001520A2"/>
    <w:rsid w:val="00154A06"/>
    <w:rsid w:val="0015584E"/>
    <w:rsid w:val="00157A07"/>
    <w:rsid w:val="00163FBE"/>
    <w:rsid w:val="0016650B"/>
    <w:rsid w:val="00167040"/>
    <w:rsid w:val="00170953"/>
    <w:rsid w:val="001717BA"/>
    <w:rsid w:val="00176DD6"/>
    <w:rsid w:val="00180197"/>
    <w:rsid w:val="0018098F"/>
    <w:rsid w:val="00180E0B"/>
    <w:rsid w:val="00180F12"/>
    <w:rsid w:val="00186549"/>
    <w:rsid w:val="00187314"/>
    <w:rsid w:val="00191AAF"/>
    <w:rsid w:val="00191BB8"/>
    <w:rsid w:val="001920CE"/>
    <w:rsid w:val="001925BD"/>
    <w:rsid w:val="0019482C"/>
    <w:rsid w:val="00195A0B"/>
    <w:rsid w:val="001A20E6"/>
    <w:rsid w:val="001A452F"/>
    <w:rsid w:val="001A7612"/>
    <w:rsid w:val="001A7865"/>
    <w:rsid w:val="001B091A"/>
    <w:rsid w:val="001B0D14"/>
    <w:rsid w:val="001B1EB2"/>
    <w:rsid w:val="001B48F8"/>
    <w:rsid w:val="001B4B07"/>
    <w:rsid w:val="001C1961"/>
    <w:rsid w:val="001C3E3D"/>
    <w:rsid w:val="001C5E37"/>
    <w:rsid w:val="001C671F"/>
    <w:rsid w:val="001C772B"/>
    <w:rsid w:val="001D0BA2"/>
    <w:rsid w:val="001D0F20"/>
    <w:rsid w:val="001D274C"/>
    <w:rsid w:val="001D5221"/>
    <w:rsid w:val="001D6F16"/>
    <w:rsid w:val="001D6F90"/>
    <w:rsid w:val="001E005C"/>
    <w:rsid w:val="001E39B3"/>
    <w:rsid w:val="001E443F"/>
    <w:rsid w:val="001E4D0B"/>
    <w:rsid w:val="001E76FF"/>
    <w:rsid w:val="001F0DA0"/>
    <w:rsid w:val="001F1B27"/>
    <w:rsid w:val="001F3BCE"/>
    <w:rsid w:val="001F6000"/>
    <w:rsid w:val="001F6D1C"/>
    <w:rsid w:val="001F6EE8"/>
    <w:rsid w:val="0020075A"/>
    <w:rsid w:val="002010D7"/>
    <w:rsid w:val="002033FA"/>
    <w:rsid w:val="00203621"/>
    <w:rsid w:val="0020475C"/>
    <w:rsid w:val="00204849"/>
    <w:rsid w:val="00205C14"/>
    <w:rsid w:val="002065F7"/>
    <w:rsid w:val="0020667B"/>
    <w:rsid w:val="002072A6"/>
    <w:rsid w:val="00212655"/>
    <w:rsid w:val="00214F10"/>
    <w:rsid w:val="00217265"/>
    <w:rsid w:val="00221DD0"/>
    <w:rsid w:val="00222539"/>
    <w:rsid w:val="00222AE6"/>
    <w:rsid w:val="0022517B"/>
    <w:rsid w:val="002267DC"/>
    <w:rsid w:val="00226A8B"/>
    <w:rsid w:val="00231FB9"/>
    <w:rsid w:val="00232AC6"/>
    <w:rsid w:val="002332A4"/>
    <w:rsid w:val="002332D5"/>
    <w:rsid w:val="00234438"/>
    <w:rsid w:val="002350E4"/>
    <w:rsid w:val="00235B0C"/>
    <w:rsid w:val="002366F8"/>
    <w:rsid w:val="00236CBC"/>
    <w:rsid w:val="002377B0"/>
    <w:rsid w:val="002400D4"/>
    <w:rsid w:val="00240C1B"/>
    <w:rsid w:val="002425EC"/>
    <w:rsid w:val="002439DE"/>
    <w:rsid w:val="00243ACC"/>
    <w:rsid w:val="00243FF8"/>
    <w:rsid w:val="0025161E"/>
    <w:rsid w:val="00254A26"/>
    <w:rsid w:val="00254D1E"/>
    <w:rsid w:val="00257457"/>
    <w:rsid w:val="00261AF4"/>
    <w:rsid w:val="00261F7E"/>
    <w:rsid w:val="002646B5"/>
    <w:rsid w:val="00264941"/>
    <w:rsid w:val="00266728"/>
    <w:rsid w:val="0026778F"/>
    <w:rsid w:val="002760D2"/>
    <w:rsid w:val="00280256"/>
    <w:rsid w:val="00280C80"/>
    <w:rsid w:val="0028496D"/>
    <w:rsid w:val="002865F9"/>
    <w:rsid w:val="002909F2"/>
    <w:rsid w:val="002955B6"/>
    <w:rsid w:val="002958B0"/>
    <w:rsid w:val="002A285E"/>
    <w:rsid w:val="002A2DBE"/>
    <w:rsid w:val="002A32FC"/>
    <w:rsid w:val="002A3975"/>
    <w:rsid w:val="002A3D83"/>
    <w:rsid w:val="002A42AF"/>
    <w:rsid w:val="002B00E7"/>
    <w:rsid w:val="002B089A"/>
    <w:rsid w:val="002B0AB9"/>
    <w:rsid w:val="002B122C"/>
    <w:rsid w:val="002B17FC"/>
    <w:rsid w:val="002B187B"/>
    <w:rsid w:val="002B209C"/>
    <w:rsid w:val="002B39DD"/>
    <w:rsid w:val="002B3E8E"/>
    <w:rsid w:val="002B75DC"/>
    <w:rsid w:val="002C0DF4"/>
    <w:rsid w:val="002C20E2"/>
    <w:rsid w:val="002C305A"/>
    <w:rsid w:val="002C312B"/>
    <w:rsid w:val="002C4A6E"/>
    <w:rsid w:val="002C4AE6"/>
    <w:rsid w:val="002C4F9F"/>
    <w:rsid w:val="002C5044"/>
    <w:rsid w:val="002C5188"/>
    <w:rsid w:val="002D3AA2"/>
    <w:rsid w:val="002D5117"/>
    <w:rsid w:val="002D7548"/>
    <w:rsid w:val="002D7B2E"/>
    <w:rsid w:val="002E1047"/>
    <w:rsid w:val="002E1D67"/>
    <w:rsid w:val="002E52C7"/>
    <w:rsid w:val="002E55F7"/>
    <w:rsid w:val="002F2EA6"/>
    <w:rsid w:val="002F4543"/>
    <w:rsid w:val="002F4D12"/>
    <w:rsid w:val="002F76E3"/>
    <w:rsid w:val="00301D7A"/>
    <w:rsid w:val="00304832"/>
    <w:rsid w:val="00305943"/>
    <w:rsid w:val="00307BD7"/>
    <w:rsid w:val="003104AE"/>
    <w:rsid w:val="00312DFD"/>
    <w:rsid w:val="00315F54"/>
    <w:rsid w:val="00320F20"/>
    <w:rsid w:val="00327456"/>
    <w:rsid w:val="0032778D"/>
    <w:rsid w:val="0033039A"/>
    <w:rsid w:val="0033054C"/>
    <w:rsid w:val="0033150E"/>
    <w:rsid w:val="003330EA"/>
    <w:rsid w:val="003331E6"/>
    <w:rsid w:val="003346F7"/>
    <w:rsid w:val="00334D5D"/>
    <w:rsid w:val="003366E0"/>
    <w:rsid w:val="00345FB3"/>
    <w:rsid w:val="003461BE"/>
    <w:rsid w:val="00346A71"/>
    <w:rsid w:val="00346FA7"/>
    <w:rsid w:val="003504FE"/>
    <w:rsid w:val="003510EC"/>
    <w:rsid w:val="00353A0A"/>
    <w:rsid w:val="003553CA"/>
    <w:rsid w:val="0035624A"/>
    <w:rsid w:val="003567B1"/>
    <w:rsid w:val="003572BB"/>
    <w:rsid w:val="003602FC"/>
    <w:rsid w:val="00360BF1"/>
    <w:rsid w:val="003644A4"/>
    <w:rsid w:val="00367D68"/>
    <w:rsid w:val="00370FDE"/>
    <w:rsid w:val="00371906"/>
    <w:rsid w:val="003729D0"/>
    <w:rsid w:val="00372C42"/>
    <w:rsid w:val="00375A30"/>
    <w:rsid w:val="00376684"/>
    <w:rsid w:val="00377DD3"/>
    <w:rsid w:val="003802F0"/>
    <w:rsid w:val="00380599"/>
    <w:rsid w:val="0038120E"/>
    <w:rsid w:val="003813D8"/>
    <w:rsid w:val="00393E3A"/>
    <w:rsid w:val="0039623B"/>
    <w:rsid w:val="003A364D"/>
    <w:rsid w:val="003A3B64"/>
    <w:rsid w:val="003A7B67"/>
    <w:rsid w:val="003B189D"/>
    <w:rsid w:val="003B1C93"/>
    <w:rsid w:val="003B213E"/>
    <w:rsid w:val="003B2CF3"/>
    <w:rsid w:val="003B3431"/>
    <w:rsid w:val="003B50AF"/>
    <w:rsid w:val="003B5C01"/>
    <w:rsid w:val="003B652D"/>
    <w:rsid w:val="003C25A1"/>
    <w:rsid w:val="003C5313"/>
    <w:rsid w:val="003C5616"/>
    <w:rsid w:val="003D33E5"/>
    <w:rsid w:val="003D41F4"/>
    <w:rsid w:val="003D466A"/>
    <w:rsid w:val="003D574C"/>
    <w:rsid w:val="003D5F20"/>
    <w:rsid w:val="003D6577"/>
    <w:rsid w:val="003E06A6"/>
    <w:rsid w:val="003E3B0E"/>
    <w:rsid w:val="003E3C72"/>
    <w:rsid w:val="003E3DF4"/>
    <w:rsid w:val="003E4CAC"/>
    <w:rsid w:val="003E669D"/>
    <w:rsid w:val="003E7011"/>
    <w:rsid w:val="003E7981"/>
    <w:rsid w:val="003F151D"/>
    <w:rsid w:val="003F1E9D"/>
    <w:rsid w:val="003F31DA"/>
    <w:rsid w:val="003F49C9"/>
    <w:rsid w:val="003F766F"/>
    <w:rsid w:val="00402F5B"/>
    <w:rsid w:val="00404636"/>
    <w:rsid w:val="00404CFA"/>
    <w:rsid w:val="00407065"/>
    <w:rsid w:val="00407A89"/>
    <w:rsid w:val="00407D54"/>
    <w:rsid w:val="00411A61"/>
    <w:rsid w:val="004125EF"/>
    <w:rsid w:val="00415954"/>
    <w:rsid w:val="004174A9"/>
    <w:rsid w:val="00417715"/>
    <w:rsid w:val="004200B5"/>
    <w:rsid w:val="004219F9"/>
    <w:rsid w:val="004222DC"/>
    <w:rsid w:val="004228DE"/>
    <w:rsid w:val="0042638F"/>
    <w:rsid w:val="00426EA4"/>
    <w:rsid w:val="004355F6"/>
    <w:rsid w:val="00437F51"/>
    <w:rsid w:val="00443054"/>
    <w:rsid w:val="00443CFF"/>
    <w:rsid w:val="00446DA4"/>
    <w:rsid w:val="00451DE4"/>
    <w:rsid w:val="00454568"/>
    <w:rsid w:val="00455229"/>
    <w:rsid w:val="00455629"/>
    <w:rsid w:val="00456FCB"/>
    <w:rsid w:val="00462D1D"/>
    <w:rsid w:val="004645BB"/>
    <w:rsid w:val="00464768"/>
    <w:rsid w:val="00464F73"/>
    <w:rsid w:val="0046751F"/>
    <w:rsid w:val="00473AE3"/>
    <w:rsid w:val="0047516C"/>
    <w:rsid w:val="00475230"/>
    <w:rsid w:val="004759FA"/>
    <w:rsid w:val="00477AE3"/>
    <w:rsid w:val="00480413"/>
    <w:rsid w:val="00480FC4"/>
    <w:rsid w:val="004812AD"/>
    <w:rsid w:val="00482751"/>
    <w:rsid w:val="00484D22"/>
    <w:rsid w:val="0048762D"/>
    <w:rsid w:val="004902DA"/>
    <w:rsid w:val="004903F3"/>
    <w:rsid w:val="00490829"/>
    <w:rsid w:val="00490CDE"/>
    <w:rsid w:val="0049339A"/>
    <w:rsid w:val="00493BDD"/>
    <w:rsid w:val="00494EC8"/>
    <w:rsid w:val="00495A6B"/>
    <w:rsid w:val="00497810"/>
    <w:rsid w:val="004A0122"/>
    <w:rsid w:val="004A3E51"/>
    <w:rsid w:val="004A4863"/>
    <w:rsid w:val="004A5C90"/>
    <w:rsid w:val="004A7109"/>
    <w:rsid w:val="004B0672"/>
    <w:rsid w:val="004B0760"/>
    <w:rsid w:val="004B0CA4"/>
    <w:rsid w:val="004B1E14"/>
    <w:rsid w:val="004B3519"/>
    <w:rsid w:val="004B75DD"/>
    <w:rsid w:val="004B7AEA"/>
    <w:rsid w:val="004C1ADE"/>
    <w:rsid w:val="004C2684"/>
    <w:rsid w:val="004C407A"/>
    <w:rsid w:val="004D0983"/>
    <w:rsid w:val="004D15C3"/>
    <w:rsid w:val="004D2ADB"/>
    <w:rsid w:val="004D3BCE"/>
    <w:rsid w:val="004D45CC"/>
    <w:rsid w:val="004D49BE"/>
    <w:rsid w:val="004D69A7"/>
    <w:rsid w:val="004E1645"/>
    <w:rsid w:val="004E1881"/>
    <w:rsid w:val="004E2A83"/>
    <w:rsid w:val="004E2F38"/>
    <w:rsid w:val="004E3D81"/>
    <w:rsid w:val="004E4D38"/>
    <w:rsid w:val="004E5134"/>
    <w:rsid w:val="004F3673"/>
    <w:rsid w:val="004F37CD"/>
    <w:rsid w:val="004F3D2D"/>
    <w:rsid w:val="004F4496"/>
    <w:rsid w:val="004F61C9"/>
    <w:rsid w:val="00501D04"/>
    <w:rsid w:val="00501DA5"/>
    <w:rsid w:val="0050363B"/>
    <w:rsid w:val="0050396E"/>
    <w:rsid w:val="00503FCD"/>
    <w:rsid w:val="0050539A"/>
    <w:rsid w:val="00513FDB"/>
    <w:rsid w:val="00515988"/>
    <w:rsid w:val="00516078"/>
    <w:rsid w:val="00516F61"/>
    <w:rsid w:val="00521A5B"/>
    <w:rsid w:val="00525100"/>
    <w:rsid w:val="00526403"/>
    <w:rsid w:val="00526C67"/>
    <w:rsid w:val="00527A2F"/>
    <w:rsid w:val="00531200"/>
    <w:rsid w:val="00532CE9"/>
    <w:rsid w:val="00532F3E"/>
    <w:rsid w:val="00534324"/>
    <w:rsid w:val="0053552B"/>
    <w:rsid w:val="00536991"/>
    <w:rsid w:val="005371B7"/>
    <w:rsid w:val="0053775C"/>
    <w:rsid w:val="0053797F"/>
    <w:rsid w:val="005419E5"/>
    <w:rsid w:val="00541AD5"/>
    <w:rsid w:val="00541D3C"/>
    <w:rsid w:val="00543158"/>
    <w:rsid w:val="005435FE"/>
    <w:rsid w:val="005459B1"/>
    <w:rsid w:val="00546D7A"/>
    <w:rsid w:val="00551FFC"/>
    <w:rsid w:val="005537D0"/>
    <w:rsid w:val="00554DE7"/>
    <w:rsid w:val="00556D2C"/>
    <w:rsid w:val="0056134F"/>
    <w:rsid w:val="00562ADF"/>
    <w:rsid w:val="00562CDF"/>
    <w:rsid w:val="0056571B"/>
    <w:rsid w:val="005659E1"/>
    <w:rsid w:val="00565AD5"/>
    <w:rsid w:val="0057180B"/>
    <w:rsid w:val="00572580"/>
    <w:rsid w:val="00573114"/>
    <w:rsid w:val="00575848"/>
    <w:rsid w:val="0058076B"/>
    <w:rsid w:val="0058165B"/>
    <w:rsid w:val="00582164"/>
    <w:rsid w:val="00582621"/>
    <w:rsid w:val="00583133"/>
    <w:rsid w:val="00583D0F"/>
    <w:rsid w:val="005846FE"/>
    <w:rsid w:val="00585D94"/>
    <w:rsid w:val="005860AB"/>
    <w:rsid w:val="0058781E"/>
    <w:rsid w:val="005901B5"/>
    <w:rsid w:val="005901E7"/>
    <w:rsid w:val="00593C88"/>
    <w:rsid w:val="005974D4"/>
    <w:rsid w:val="00597D30"/>
    <w:rsid w:val="005A3646"/>
    <w:rsid w:val="005A3D3A"/>
    <w:rsid w:val="005A79B8"/>
    <w:rsid w:val="005B2F93"/>
    <w:rsid w:val="005B3590"/>
    <w:rsid w:val="005B3937"/>
    <w:rsid w:val="005B42F9"/>
    <w:rsid w:val="005B69EE"/>
    <w:rsid w:val="005B753B"/>
    <w:rsid w:val="005C0782"/>
    <w:rsid w:val="005C092D"/>
    <w:rsid w:val="005C3045"/>
    <w:rsid w:val="005C3D78"/>
    <w:rsid w:val="005C5D13"/>
    <w:rsid w:val="005C69C4"/>
    <w:rsid w:val="005C78ED"/>
    <w:rsid w:val="005C7EC4"/>
    <w:rsid w:val="005D2414"/>
    <w:rsid w:val="005D2953"/>
    <w:rsid w:val="005E19D5"/>
    <w:rsid w:val="005E2797"/>
    <w:rsid w:val="005E594E"/>
    <w:rsid w:val="005E5C42"/>
    <w:rsid w:val="005E6414"/>
    <w:rsid w:val="005E6DAC"/>
    <w:rsid w:val="005F131A"/>
    <w:rsid w:val="005F13CA"/>
    <w:rsid w:val="005F21A5"/>
    <w:rsid w:val="005F3057"/>
    <w:rsid w:val="005F33EA"/>
    <w:rsid w:val="005F4F55"/>
    <w:rsid w:val="005F6480"/>
    <w:rsid w:val="00600D96"/>
    <w:rsid w:val="0060599B"/>
    <w:rsid w:val="00605EC1"/>
    <w:rsid w:val="00610BDB"/>
    <w:rsid w:val="006118E9"/>
    <w:rsid w:val="0061400A"/>
    <w:rsid w:val="00615E58"/>
    <w:rsid w:val="00617DCE"/>
    <w:rsid w:val="00620783"/>
    <w:rsid w:val="00621506"/>
    <w:rsid w:val="00631610"/>
    <w:rsid w:val="006321F6"/>
    <w:rsid w:val="0063261B"/>
    <w:rsid w:val="00632C1F"/>
    <w:rsid w:val="0063629A"/>
    <w:rsid w:val="006411B6"/>
    <w:rsid w:val="00642204"/>
    <w:rsid w:val="00650F74"/>
    <w:rsid w:val="00651E6F"/>
    <w:rsid w:val="00652C4F"/>
    <w:rsid w:val="006537AC"/>
    <w:rsid w:val="006545C0"/>
    <w:rsid w:val="0065470C"/>
    <w:rsid w:val="0066059C"/>
    <w:rsid w:val="00661E69"/>
    <w:rsid w:val="006633DB"/>
    <w:rsid w:val="00664634"/>
    <w:rsid w:val="006664A0"/>
    <w:rsid w:val="006671BF"/>
    <w:rsid w:val="00671857"/>
    <w:rsid w:val="0067320E"/>
    <w:rsid w:val="006750A6"/>
    <w:rsid w:val="0067530D"/>
    <w:rsid w:val="006826F7"/>
    <w:rsid w:val="006830BC"/>
    <w:rsid w:val="0068646E"/>
    <w:rsid w:val="006873A3"/>
    <w:rsid w:val="00687D95"/>
    <w:rsid w:val="00692BE6"/>
    <w:rsid w:val="00693714"/>
    <w:rsid w:val="006954CF"/>
    <w:rsid w:val="006959AF"/>
    <w:rsid w:val="00695EF8"/>
    <w:rsid w:val="00696A9F"/>
    <w:rsid w:val="006A1F87"/>
    <w:rsid w:val="006A67E9"/>
    <w:rsid w:val="006A7400"/>
    <w:rsid w:val="006B0352"/>
    <w:rsid w:val="006B1B32"/>
    <w:rsid w:val="006B29AF"/>
    <w:rsid w:val="006B3411"/>
    <w:rsid w:val="006B56E3"/>
    <w:rsid w:val="006B661F"/>
    <w:rsid w:val="006B773E"/>
    <w:rsid w:val="006C07F5"/>
    <w:rsid w:val="006C2C77"/>
    <w:rsid w:val="006C3926"/>
    <w:rsid w:val="006C39CA"/>
    <w:rsid w:val="006C6ECC"/>
    <w:rsid w:val="006D0936"/>
    <w:rsid w:val="006D184C"/>
    <w:rsid w:val="006D2CB1"/>
    <w:rsid w:val="006D68B8"/>
    <w:rsid w:val="006D7986"/>
    <w:rsid w:val="006D79C0"/>
    <w:rsid w:val="006D7F6B"/>
    <w:rsid w:val="006E00A3"/>
    <w:rsid w:val="006E06CE"/>
    <w:rsid w:val="006E09F5"/>
    <w:rsid w:val="006E163B"/>
    <w:rsid w:val="006E2947"/>
    <w:rsid w:val="006E7E4D"/>
    <w:rsid w:val="006F102A"/>
    <w:rsid w:val="006F1054"/>
    <w:rsid w:val="006F36A8"/>
    <w:rsid w:val="006F3876"/>
    <w:rsid w:val="006F4F3B"/>
    <w:rsid w:val="006F6B55"/>
    <w:rsid w:val="007006A5"/>
    <w:rsid w:val="00700DA1"/>
    <w:rsid w:val="00701624"/>
    <w:rsid w:val="00702639"/>
    <w:rsid w:val="00702FAB"/>
    <w:rsid w:val="007061B6"/>
    <w:rsid w:val="00706228"/>
    <w:rsid w:val="00706A86"/>
    <w:rsid w:val="007076B8"/>
    <w:rsid w:val="0071106E"/>
    <w:rsid w:val="00712806"/>
    <w:rsid w:val="007156FE"/>
    <w:rsid w:val="00717142"/>
    <w:rsid w:val="0072696A"/>
    <w:rsid w:val="00730475"/>
    <w:rsid w:val="00730881"/>
    <w:rsid w:val="00730DC8"/>
    <w:rsid w:val="007313F6"/>
    <w:rsid w:val="00732443"/>
    <w:rsid w:val="00733EDA"/>
    <w:rsid w:val="00736F16"/>
    <w:rsid w:val="007372B0"/>
    <w:rsid w:val="007372D6"/>
    <w:rsid w:val="00742C5E"/>
    <w:rsid w:val="00742E40"/>
    <w:rsid w:val="00744E1B"/>
    <w:rsid w:val="00745199"/>
    <w:rsid w:val="007505A0"/>
    <w:rsid w:val="007560EB"/>
    <w:rsid w:val="00760B4E"/>
    <w:rsid w:val="00770C0F"/>
    <w:rsid w:val="00770FBB"/>
    <w:rsid w:val="00771BA1"/>
    <w:rsid w:val="0077394C"/>
    <w:rsid w:val="00774642"/>
    <w:rsid w:val="00776638"/>
    <w:rsid w:val="007779A9"/>
    <w:rsid w:val="00777B9A"/>
    <w:rsid w:val="00783AB5"/>
    <w:rsid w:val="00786C16"/>
    <w:rsid w:val="00786C57"/>
    <w:rsid w:val="00787F9D"/>
    <w:rsid w:val="00790E2A"/>
    <w:rsid w:val="00795277"/>
    <w:rsid w:val="007A055C"/>
    <w:rsid w:val="007A11BB"/>
    <w:rsid w:val="007A198C"/>
    <w:rsid w:val="007A2E60"/>
    <w:rsid w:val="007A3347"/>
    <w:rsid w:val="007A5DB9"/>
    <w:rsid w:val="007A6C4E"/>
    <w:rsid w:val="007B018A"/>
    <w:rsid w:val="007B122B"/>
    <w:rsid w:val="007B2E87"/>
    <w:rsid w:val="007B5352"/>
    <w:rsid w:val="007B5CC8"/>
    <w:rsid w:val="007B6022"/>
    <w:rsid w:val="007C149B"/>
    <w:rsid w:val="007C2E07"/>
    <w:rsid w:val="007C3886"/>
    <w:rsid w:val="007C61EB"/>
    <w:rsid w:val="007C656E"/>
    <w:rsid w:val="007D0BAB"/>
    <w:rsid w:val="007D28E7"/>
    <w:rsid w:val="007D3BC6"/>
    <w:rsid w:val="007D4B60"/>
    <w:rsid w:val="007E05F4"/>
    <w:rsid w:val="007E41A6"/>
    <w:rsid w:val="007E4CC9"/>
    <w:rsid w:val="007E4ED6"/>
    <w:rsid w:val="007E5A1B"/>
    <w:rsid w:val="007E721D"/>
    <w:rsid w:val="007F0507"/>
    <w:rsid w:val="007F205F"/>
    <w:rsid w:val="007F33CD"/>
    <w:rsid w:val="007F56BB"/>
    <w:rsid w:val="007F7C37"/>
    <w:rsid w:val="007F7FBF"/>
    <w:rsid w:val="008012D6"/>
    <w:rsid w:val="00803972"/>
    <w:rsid w:val="0080486D"/>
    <w:rsid w:val="00805FE8"/>
    <w:rsid w:val="00807EC7"/>
    <w:rsid w:val="00807FD7"/>
    <w:rsid w:val="00810F72"/>
    <w:rsid w:val="00811A2A"/>
    <w:rsid w:val="00812A8D"/>
    <w:rsid w:val="00812BE0"/>
    <w:rsid w:val="00812D62"/>
    <w:rsid w:val="00813956"/>
    <w:rsid w:val="0081546A"/>
    <w:rsid w:val="00817BE4"/>
    <w:rsid w:val="008207CA"/>
    <w:rsid w:val="008214D2"/>
    <w:rsid w:val="00821520"/>
    <w:rsid w:val="008215B5"/>
    <w:rsid w:val="00826F66"/>
    <w:rsid w:val="00827335"/>
    <w:rsid w:val="00827783"/>
    <w:rsid w:val="008311D3"/>
    <w:rsid w:val="00831759"/>
    <w:rsid w:val="00837C56"/>
    <w:rsid w:val="00840331"/>
    <w:rsid w:val="00840F67"/>
    <w:rsid w:val="00842B27"/>
    <w:rsid w:val="00842E1F"/>
    <w:rsid w:val="0084570B"/>
    <w:rsid w:val="008475A0"/>
    <w:rsid w:val="00850D1A"/>
    <w:rsid w:val="0085130F"/>
    <w:rsid w:val="008515DF"/>
    <w:rsid w:val="00852D11"/>
    <w:rsid w:val="00860D8A"/>
    <w:rsid w:val="008625E9"/>
    <w:rsid w:val="008638DF"/>
    <w:rsid w:val="0086744B"/>
    <w:rsid w:val="0087119B"/>
    <w:rsid w:val="008723A0"/>
    <w:rsid w:val="008729A5"/>
    <w:rsid w:val="00873BAD"/>
    <w:rsid w:val="00877790"/>
    <w:rsid w:val="00877E00"/>
    <w:rsid w:val="0088029B"/>
    <w:rsid w:val="00880C78"/>
    <w:rsid w:val="00881E3C"/>
    <w:rsid w:val="008825C0"/>
    <w:rsid w:val="008827C9"/>
    <w:rsid w:val="008867B3"/>
    <w:rsid w:val="00886CE9"/>
    <w:rsid w:val="00887DC0"/>
    <w:rsid w:val="00890D5B"/>
    <w:rsid w:val="00891D58"/>
    <w:rsid w:val="0089294B"/>
    <w:rsid w:val="00893F40"/>
    <w:rsid w:val="008959AC"/>
    <w:rsid w:val="0089611A"/>
    <w:rsid w:val="00896958"/>
    <w:rsid w:val="008969F2"/>
    <w:rsid w:val="008A1F81"/>
    <w:rsid w:val="008A4F26"/>
    <w:rsid w:val="008A5023"/>
    <w:rsid w:val="008B03E1"/>
    <w:rsid w:val="008B1747"/>
    <w:rsid w:val="008B2883"/>
    <w:rsid w:val="008B4146"/>
    <w:rsid w:val="008B5EA1"/>
    <w:rsid w:val="008C0C75"/>
    <w:rsid w:val="008C1523"/>
    <w:rsid w:val="008C476D"/>
    <w:rsid w:val="008C4F6F"/>
    <w:rsid w:val="008C5685"/>
    <w:rsid w:val="008C646D"/>
    <w:rsid w:val="008C64C4"/>
    <w:rsid w:val="008C691E"/>
    <w:rsid w:val="008D2CDB"/>
    <w:rsid w:val="008D3F7E"/>
    <w:rsid w:val="008E284A"/>
    <w:rsid w:val="008E4BCD"/>
    <w:rsid w:val="008E544E"/>
    <w:rsid w:val="008E76A0"/>
    <w:rsid w:val="008E7CF3"/>
    <w:rsid w:val="008F5766"/>
    <w:rsid w:val="008F5912"/>
    <w:rsid w:val="008F605F"/>
    <w:rsid w:val="009014A3"/>
    <w:rsid w:val="009029AE"/>
    <w:rsid w:val="00903F2C"/>
    <w:rsid w:val="00904926"/>
    <w:rsid w:val="00905193"/>
    <w:rsid w:val="00905494"/>
    <w:rsid w:val="0090584F"/>
    <w:rsid w:val="00906AA7"/>
    <w:rsid w:val="00907866"/>
    <w:rsid w:val="00911332"/>
    <w:rsid w:val="00911443"/>
    <w:rsid w:val="009118E0"/>
    <w:rsid w:val="0091442C"/>
    <w:rsid w:val="0091456C"/>
    <w:rsid w:val="00915AD8"/>
    <w:rsid w:val="00915DF1"/>
    <w:rsid w:val="00916A87"/>
    <w:rsid w:val="00917225"/>
    <w:rsid w:val="009174E4"/>
    <w:rsid w:val="00921F42"/>
    <w:rsid w:val="009239C2"/>
    <w:rsid w:val="00925CEA"/>
    <w:rsid w:val="00927055"/>
    <w:rsid w:val="00927066"/>
    <w:rsid w:val="00930609"/>
    <w:rsid w:val="00932E32"/>
    <w:rsid w:val="00933828"/>
    <w:rsid w:val="0093422F"/>
    <w:rsid w:val="00934D80"/>
    <w:rsid w:val="00936149"/>
    <w:rsid w:val="00936639"/>
    <w:rsid w:val="00936E2D"/>
    <w:rsid w:val="00937124"/>
    <w:rsid w:val="009417B4"/>
    <w:rsid w:val="00942167"/>
    <w:rsid w:val="0094282C"/>
    <w:rsid w:val="00944E83"/>
    <w:rsid w:val="00946E74"/>
    <w:rsid w:val="00947E58"/>
    <w:rsid w:val="00950498"/>
    <w:rsid w:val="00951110"/>
    <w:rsid w:val="009512A6"/>
    <w:rsid w:val="00954216"/>
    <w:rsid w:val="009553E2"/>
    <w:rsid w:val="00955767"/>
    <w:rsid w:val="00962602"/>
    <w:rsid w:val="00970973"/>
    <w:rsid w:val="009739F9"/>
    <w:rsid w:val="00973ED8"/>
    <w:rsid w:val="00974FA2"/>
    <w:rsid w:val="00975BF1"/>
    <w:rsid w:val="00976BB9"/>
    <w:rsid w:val="009802E3"/>
    <w:rsid w:val="00981F5A"/>
    <w:rsid w:val="00986C91"/>
    <w:rsid w:val="00986DF8"/>
    <w:rsid w:val="0099051A"/>
    <w:rsid w:val="009931D5"/>
    <w:rsid w:val="0099365B"/>
    <w:rsid w:val="00993B36"/>
    <w:rsid w:val="0099528C"/>
    <w:rsid w:val="009A15E9"/>
    <w:rsid w:val="009B3BA8"/>
    <w:rsid w:val="009C091E"/>
    <w:rsid w:val="009C2EB7"/>
    <w:rsid w:val="009C4341"/>
    <w:rsid w:val="009C468A"/>
    <w:rsid w:val="009C4B11"/>
    <w:rsid w:val="009D2CD4"/>
    <w:rsid w:val="009D32AE"/>
    <w:rsid w:val="009D3F87"/>
    <w:rsid w:val="009D5FC9"/>
    <w:rsid w:val="009D610C"/>
    <w:rsid w:val="009D6AFC"/>
    <w:rsid w:val="009E3B1F"/>
    <w:rsid w:val="009E4FD2"/>
    <w:rsid w:val="009E6722"/>
    <w:rsid w:val="009E75E6"/>
    <w:rsid w:val="009E7780"/>
    <w:rsid w:val="009F0ECA"/>
    <w:rsid w:val="009F498A"/>
    <w:rsid w:val="00A000F2"/>
    <w:rsid w:val="00A003F9"/>
    <w:rsid w:val="00A004DB"/>
    <w:rsid w:val="00A020B8"/>
    <w:rsid w:val="00A03CAE"/>
    <w:rsid w:val="00A056D5"/>
    <w:rsid w:val="00A05D18"/>
    <w:rsid w:val="00A06A35"/>
    <w:rsid w:val="00A074C6"/>
    <w:rsid w:val="00A130AB"/>
    <w:rsid w:val="00A15E44"/>
    <w:rsid w:val="00A16AA8"/>
    <w:rsid w:val="00A17505"/>
    <w:rsid w:val="00A17C03"/>
    <w:rsid w:val="00A21382"/>
    <w:rsid w:val="00A2314D"/>
    <w:rsid w:val="00A26C65"/>
    <w:rsid w:val="00A31AEE"/>
    <w:rsid w:val="00A33CD2"/>
    <w:rsid w:val="00A34C1B"/>
    <w:rsid w:val="00A357BA"/>
    <w:rsid w:val="00A40358"/>
    <w:rsid w:val="00A4522F"/>
    <w:rsid w:val="00A4574F"/>
    <w:rsid w:val="00A4757B"/>
    <w:rsid w:val="00A50E3E"/>
    <w:rsid w:val="00A54305"/>
    <w:rsid w:val="00A566AF"/>
    <w:rsid w:val="00A571A5"/>
    <w:rsid w:val="00A60DA2"/>
    <w:rsid w:val="00A65B5B"/>
    <w:rsid w:val="00A66D8B"/>
    <w:rsid w:val="00A717CC"/>
    <w:rsid w:val="00A719A1"/>
    <w:rsid w:val="00A71B67"/>
    <w:rsid w:val="00A71D26"/>
    <w:rsid w:val="00A72F41"/>
    <w:rsid w:val="00A74DD5"/>
    <w:rsid w:val="00A76190"/>
    <w:rsid w:val="00A800E4"/>
    <w:rsid w:val="00A85554"/>
    <w:rsid w:val="00A864AC"/>
    <w:rsid w:val="00A86959"/>
    <w:rsid w:val="00A92EB5"/>
    <w:rsid w:val="00A93164"/>
    <w:rsid w:val="00A931F1"/>
    <w:rsid w:val="00A936C9"/>
    <w:rsid w:val="00A96FED"/>
    <w:rsid w:val="00A976A5"/>
    <w:rsid w:val="00AA0D65"/>
    <w:rsid w:val="00AA281C"/>
    <w:rsid w:val="00AA2AF2"/>
    <w:rsid w:val="00AA3738"/>
    <w:rsid w:val="00AA3DF7"/>
    <w:rsid w:val="00AA6942"/>
    <w:rsid w:val="00AA7624"/>
    <w:rsid w:val="00AA7E3A"/>
    <w:rsid w:val="00AB18CF"/>
    <w:rsid w:val="00AB23C2"/>
    <w:rsid w:val="00AB3174"/>
    <w:rsid w:val="00AB3BD4"/>
    <w:rsid w:val="00AB4BFD"/>
    <w:rsid w:val="00AB4F24"/>
    <w:rsid w:val="00AB5FA0"/>
    <w:rsid w:val="00AB65DA"/>
    <w:rsid w:val="00AC0040"/>
    <w:rsid w:val="00AC2A82"/>
    <w:rsid w:val="00AC651D"/>
    <w:rsid w:val="00AC6B59"/>
    <w:rsid w:val="00AC7031"/>
    <w:rsid w:val="00AD032B"/>
    <w:rsid w:val="00AD3BDE"/>
    <w:rsid w:val="00AD5606"/>
    <w:rsid w:val="00AD6216"/>
    <w:rsid w:val="00AD659F"/>
    <w:rsid w:val="00AD6DF7"/>
    <w:rsid w:val="00AD7865"/>
    <w:rsid w:val="00AE0B50"/>
    <w:rsid w:val="00AE1784"/>
    <w:rsid w:val="00AE1A74"/>
    <w:rsid w:val="00AE208B"/>
    <w:rsid w:val="00AE4E20"/>
    <w:rsid w:val="00AF2A1A"/>
    <w:rsid w:val="00AF66A4"/>
    <w:rsid w:val="00AF71DD"/>
    <w:rsid w:val="00AF7D96"/>
    <w:rsid w:val="00B01D44"/>
    <w:rsid w:val="00B04233"/>
    <w:rsid w:val="00B1081B"/>
    <w:rsid w:val="00B10C3A"/>
    <w:rsid w:val="00B10F46"/>
    <w:rsid w:val="00B1253E"/>
    <w:rsid w:val="00B125B2"/>
    <w:rsid w:val="00B13A3E"/>
    <w:rsid w:val="00B15038"/>
    <w:rsid w:val="00B165CC"/>
    <w:rsid w:val="00B17369"/>
    <w:rsid w:val="00B20C96"/>
    <w:rsid w:val="00B20DC9"/>
    <w:rsid w:val="00B227AD"/>
    <w:rsid w:val="00B23137"/>
    <w:rsid w:val="00B232B8"/>
    <w:rsid w:val="00B25D1D"/>
    <w:rsid w:val="00B25D63"/>
    <w:rsid w:val="00B30E83"/>
    <w:rsid w:val="00B3132C"/>
    <w:rsid w:val="00B373DB"/>
    <w:rsid w:val="00B40C40"/>
    <w:rsid w:val="00B4501C"/>
    <w:rsid w:val="00B45B30"/>
    <w:rsid w:val="00B45BEA"/>
    <w:rsid w:val="00B4699C"/>
    <w:rsid w:val="00B47AEA"/>
    <w:rsid w:val="00B52C42"/>
    <w:rsid w:val="00B54407"/>
    <w:rsid w:val="00B610BD"/>
    <w:rsid w:val="00B6229A"/>
    <w:rsid w:val="00B62A0C"/>
    <w:rsid w:val="00B636B4"/>
    <w:rsid w:val="00B63FB7"/>
    <w:rsid w:val="00B67107"/>
    <w:rsid w:val="00B67CB4"/>
    <w:rsid w:val="00B760B2"/>
    <w:rsid w:val="00B814B3"/>
    <w:rsid w:val="00B8308B"/>
    <w:rsid w:val="00B8605A"/>
    <w:rsid w:val="00B8660D"/>
    <w:rsid w:val="00B915D4"/>
    <w:rsid w:val="00B92408"/>
    <w:rsid w:val="00B9256C"/>
    <w:rsid w:val="00B94279"/>
    <w:rsid w:val="00B95E45"/>
    <w:rsid w:val="00B96C51"/>
    <w:rsid w:val="00BA02C2"/>
    <w:rsid w:val="00BA05A9"/>
    <w:rsid w:val="00BA15E7"/>
    <w:rsid w:val="00BA4C1C"/>
    <w:rsid w:val="00BA5385"/>
    <w:rsid w:val="00BA674F"/>
    <w:rsid w:val="00BA6CC8"/>
    <w:rsid w:val="00BB002D"/>
    <w:rsid w:val="00BB01E3"/>
    <w:rsid w:val="00BB08E5"/>
    <w:rsid w:val="00BB1A51"/>
    <w:rsid w:val="00BB2F7E"/>
    <w:rsid w:val="00BB5309"/>
    <w:rsid w:val="00BC067C"/>
    <w:rsid w:val="00BC28BB"/>
    <w:rsid w:val="00BC48FF"/>
    <w:rsid w:val="00BC52A2"/>
    <w:rsid w:val="00BC6205"/>
    <w:rsid w:val="00BC647D"/>
    <w:rsid w:val="00BC6D53"/>
    <w:rsid w:val="00BD0F0A"/>
    <w:rsid w:val="00BD1C5E"/>
    <w:rsid w:val="00BD3BD3"/>
    <w:rsid w:val="00BD3D33"/>
    <w:rsid w:val="00BD71F1"/>
    <w:rsid w:val="00BD7E9F"/>
    <w:rsid w:val="00BE1BBA"/>
    <w:rsid w:val="00BE4BCF"/>
    <w:rsid w:val="00BE52CB"/>
    <w:rsid w:val="00BE7016"/>
    <w:rsid w:val="00BE70E4"/>
    <w:rsid w:val="00BF37CE"/>
    <w:rsid w:val="00BF46E7"/>
    <w:rsid w:val="00BF7224"/>
    <w:rsid w:val="00C000A0"/>
    <w:rsid w:val="00C013B7"/>
    <w:rsid w:val="00C01D0B"/>
    <w:rsid w:val="00C02A07"/>
    <w:rsid w:val="00C05970"/>
    <w:rsid w:val="00C05EA7"/>
    <w:rsid w:val="00C11501"/>
    <w:rsid w:val="00C1543F"/>
    <w:rsid w:val="00C15B56"/>
    <w:rsid w:val="00C17FE9"/>
    <w:rsid w:val="00C20AA0"/>
    <w:rsid w:val="00C22774"/>
    <w:rsid w:val="00C231B7"/>
    <w:rsid w:val="00C238A4"/>
    <w:rsid w:val="00C24542"/>
    <w:rsid w:val="00C27A47"/>
    <w:rsid w:val="00C31018"/>
    <w:rsid w:val="00C32B63"/>
    <w:rsid w:val="00C3534B"/>
    <w:rsid w:val="00C35990"/>
    <w:rsid w:val="00C3719E"/>
    <w:rsid w:val="00C371D2"/>
    <w:rsid w:val="00C41D0D"/>
    <w:rsid w:val="00C4227C"/>
    <w:rsid w:val="00C43430"/>
    <w:rsid w:val="00C4393D"/>
    <w:rsid w:val="00C45ED2"/>
    <w:rsid w:val="00C465E0"/>
    <w:rsid w:val="00C46BF5"/>
    <w:rsid w:val="00C50981"/>
    <w:rsid w:val="00C50C20"/>
    <w:rsid w:val="00C51BC4"/>
    <w:rsid w:val="00C51FEF"/>
    <w:rsid w:val="00C55FA7"/>
    <w:rsid w:val="00C57393"/>
    <w:rsid w:val="00C60A9A"/>
    <w:rsid w:val="00C60AA6"/>
    <w:rsid w:val="00C624AE"/>
    <w:rsid w:val="00C625A9"/>
    <w:rsid w:val="00C62C7D"/>
    <w:rsid w:val="00C63B7D"/>
    <w:rsid w:val="00C65501"/>
    <w:rsid w:val="00C65D8F"/>
    <w:rsid w:val="00C65E5B"/>
    <w:rsid w:val="00C6693B"/>
    <w:rsid w:val="00C67170"/>
    <w:rsid w:val="00C77F27"/>
    <w:rsid w:val="00C80B4D"/>
    <w:rsid w:val="00C814BD"/>
    <w:rsid w:val="00C816B6"/>
    <w:rsid w:val="00C82FB2"/>
    <w:rsid w:val="00C839ED"/>
    <w:rsid w:val="00C865B3"/>
    <w:rsid w:val="00C92D58"/>
    <w:rsid w:val="00C93326"/>
    <w:rsid w:val="00C93856"/>
    <w:rsid w:val="00C955FD"/>
    <w:rsid w:val="00C969FD"/>
    <w:rsid w:val="00CA2AEB"/>
    <w:rsid w:val="00CA5100"/>
    <w:rsid w:val="00CA689B"/>
    <w:rsid w:val="00CA7BFE"/>
    <w:rsid w:val="00CB1CAC"/>
    <w:rsid w:val="00CB1DD5"/>
    <w:rsid w:val="00CB368D"/>
    <w:rsid w:val="00CB3FEC"/>
    <w:rsid w:val="00CB704D"/>
    <w:rsid w:val="00CC2E13"/>
    <w:rsid w:val="00CC2EDF"/>
    <w:rsid w:val="00CC3B0F"/>
    <w:rsid w:val="00CC4F52"/>
    <w:rsid w:val="00CC58C5"/>
    <w:rsid w:val="00CD0682"/>
    <w:rsid w:val="00CD3AB8"/>
    <w:rsid w:val="00CD4E83"/>
    <w:rsid w:val="00CD5F3F"/>
    <w:rsid w:val="00CE080A"/>
    <w:rsid w:val="00CE3001"/>
    <w:rsid w:val="00CE4A10"/>
    <w:rsid w:val="00CE6119"/>
    <w:rsid w:val="00CE6856"/>
    <w:rsid w:val="00CE7219"/>
    <w:rsid w:val="00CE72CC"/>
    <w:rsid w:val="00CE7939"/>
    <w:rsid w:val="00CF0542"/>
    <w:rsid w:val="00CF1C70"/>
    <w:rsid w:val="00CF20D2"/>
    <w:rsid w:val="00CF5C29"/>
    <w:rsid w:val="00D01A9B"/>
    <w:rsid w:val="00D035F7"/>
    <w:rsid w:val="00D042C6"/>
    <w:rsid w:val="00D04B03"/>
    <w:rsid w:val="00D04CBC"/>
    <w:rsid w:val="00D06004"/>
    <w:rsid w:val="00D1123E"/>
    <w:rsid w:val="00D14330"/>
    <w:rsid w:val="00D15CC5"/>
    <w:rsid w:val="00D17669"/>
    <w:rsid w:val="00D26996"/>
    <w:rsid w:val="00D27A5C"/>
    <w:rsid w:val="00D30DB4"/>
    <w:rsid w:val="00D31262"/>
    <w:rsid w:val="00D35822"/>
    <w:rsid w:val="00D35D16"/>
    <w:rsid w:val="00D3660F"/>
    <w:rsid w:val="00D40F3B"/>
    <w:rsid w:val="00D428DA"/>
    <w:rsid w:val="00D43205"/>
    <w:rsid w:val="00D4402B"/>
    <w:rsid w:val="00D44AD2"/>
    <w:rsid w:val="00D46151"/>
    <w:rsid w:val="00D46B49"/>
    <w:rsid w:val="00D5184C"/>
    <w:rsid w:val="00D52C93"/>
    <w:rsid w:val="00D57661"/>
    <w:rsid w:val="00D60264"/>
    <w:rsid w:val="00D619E9"/>
    <w:rsid w:val="00D61C91"/>
    <w:rsid w:val="00D66244"/>
    <w:rsid w:val="00D67533"/>
    <w:rsid w:val="00D67A45"/>
    <w:rsid w:val="00D70ABB"/>
    <w:rsid w:val="00D71D39"/>
    <w:rsid w:val="00D73083"/>
    <w:rsid w:val="00D731B1"/>
    <w:rsid w:val="00D73B20"/>
    <w:rsid w:val="00D749D1"/>
    <w:rsid w:val="00D75604"/>
    <w:rsid w:val="00D779DB"/>
    <w:rsid w:val="00D80748"/>
    <w:rsid w:val="00D80EA2"/>
    <w:rsid w:val="00D81AFE"/>
    <w:rsid w:val="00D81C11"/>
    <w:rsid w:val="00D820C8"/>
    <w:rsid w:val="00D84CDC"/>
    <w:rsid w:val="00D86597"/>
    <w:rsid w:val="00D87567"/>
    <w:rsid w:val="00D90D13"/>
    <w:rsid w:val="00D912B2"/>
    <w:rsid w:val="00D92F78"/>
    <w:rsid w:val="00D94ACA"/>
    <w:rsid w:val="00DA1CA4"/>
    <w:rsid w:val="00DA27D2"/>
    <w:rsid w:val="00DA321C"/>
    <w:rsid w:val="00DA3272"/>
    <w:rsid w:val="00DA4F37"/>
    <w:rsid w:val="00DB2F1D"/>
    <w:rsid w:val="00DB35CA"/>
    <w:rsid w:val="00DB3818"/>
    <w:rsid w:val="00DB4E4B"/>
    <w:rsid w:val="00DB57F5"/>
    <w:rsid w:val="00DC46B6"/>
    <w:rsid w:val="00DC46F7"/>
    <w:rsid w:val="00DC5216"/>
    <w:rsid w:val="00DC5791"/>
    <w:rsid w:val="00DC63B4"/>
    <w:rsid w:val="00DC6947"/>
    <w:rsid w:val="00DC77A7"/>
    <w:rsid w:val="00DD0A87"/>
    <w:rsid w:val="00DD2726"/>
    <w:rsid w:val="00DD45F3"/>
    <w:rsid w:val="00DD6158"/>
    <w:rsid w:val="00DD6D52"/>
    <w:rsid w:val="00DD6D65"/>
    <w:rsid w:val="00DE231F"/>
    <w:rsid w:val="00DE3018"/>
    <w:rsid w:val="00DE505A"/>
    <w:rsid w:val="00DE6E16"/>
    <w:rsid w:val="00DE779F"/>
    <w:rsid w:val="00DE7847"/>
    <w:rsid w:val="00DE79AD"/>
    <w:rsid w:val="00DE7C6C"/>
    <w:rsid w:val="00DF380E"/>
    <w:rsid w:val="00DF45F9"/>
    <w:rsid w:val="00DF7242"/>
    <w:rsid w:val="00E01BDD"/>
    <w:rsid w:val="00E071FE"/>
    <w:rsid w:val="00E07D2D"/>
    <w:rsid w:val="00E10544"/>
    <w:rsid w:val="00E109E0"/>
    <w:rsid w:val="00E13682"/>
    <w:rsid w:val="00E15605"/>
    <w:rsid w:val="00E15D02"/>
    <w:rsid w:val="00E24DB3"/>
    <w:rsid w:val="00E25899"/>
    <w:rsid w:val="00E319F0"/>
    <w:rsid w:val="00E32744"/>
    <w:rsid w:val="00E32EAC"/>
    <w:rsid w:val="00E34024"/>
    <w:rsid w:val="00E352C4"/>
    <w:rsid w:val="00E3599C"/>
    <w:rsid w:val="00E35FA3"/>
    <w:rsid w:val="00E441D2"/>
    <w:rsid w:val="00E44B2A"/>
    <w:rsid w:val="00E46912"/>
    <w:rsid w:val="00E469E8"/>
    <w:rsid w:val="00E50130"/>
    <w:rsid w:val="00E5181D"/>
    <w:rsid w:val="00E524AF"/>
    <w:rsid w:val="00E52F0A"/>
    <w:rsid w:val="00E53A70"/>
    <w:rsid w:val="00E54132"/>
    <w:rsid w:val="00E541C6"/>
    <w:rsid w:val="00E56659"/>
    <w:rsid w:val="00E60F8D"/>
    <w:rsid w:val="00E6219F"/>
    <w:rsid w:val="00E7018E"/>
    <w:rsid w:val="00E773F3"/>
    <w:rsid w:val="00E807C9"/>
    <w:rsid w:val="00E8141C"/>
    <w:rsid w:val="00E84AA3"/>
    <w:rsid w:val="00E85B2C"/>
    <w:rsid w:val="00E90D09"/>
    <w:rsid w:val="00E91C6B"/>
    <w:rsid w:val="00E9403A"/>
    <w:rsid w:val="00E94C57"/>
    <w:rsid w:val="00E975DD"/>
    <w:rsid w:val="00E97F1F"/>
    <w:rsid w:val="00EA2007"/>
    <w:rsid w:val="00EA3BB5"/>
    <w:rsid w:val="00EA3BC1"/>
    <w:rsid w:val="00EA7ECB"/>
    <w:rsid w:val="00EB06E0"/>
    <w:rsid w:val="00EB58D3"/>
    <w:rsid w:val="00EC17CD"/>
    <w:rsid w:val="00EC1ABC"/>
    <w:rsid w:val="00EC1F38"/>
    <w:rsid w:val="00EC2FFF"/>
    <w:rsid w:val="00EC549E"/>
    <w:rsid w:val="00EC5843"/>
    <w:rsid w:val="00EC616E"/>
    <w:rsid w:val="00EC787F"/>
    <w:rsid w:val="00EC7EF0"/>
    <w:rsid w:val="00ED0016"/>
    <w:rsid w:val="00ED00AA"/>
    <w:rsid w:val="00ED4925"/>
    <w:rsid w:val="00ED532A"/>
    <w:rsid w:val="00ED67CB"/>
    <w:rsid w:val="00ED6A62"/>
    <w:rsid w:val="00ED794A"/>
    <w:rsid w:val="00EE7CC9"/>
    <w:rsid w:val="00EF0E73"/>
    <w:rsid w:val="00EF2EB9"/>
    <w:rsid w:val="00EF3ADF"/>
    <w:rsid w:val="00EF560D"/>
    <w:rsid w:val="00EF6A1B"/>
    <w:rsid w:val="00EF796B"/>
    <w:rsid w:val="00EF7BB1"/>
    <w:rsid w:val="00F00435"/>
    <w:rsid w:val="00F045A9"/>
    <w:rsid w:val="00F0598A"/>
    <w:rsid w:val="00F06619"/>
    <w:rsid w:val="00F0702E"/>
    <w:rsid w:val="00F07182"/>
    <w:rsid w:val="00F10679"/>
    <w:rsid w:val="00F11654"/>
    <w:rsid w:val="00F11B4C"/>
    <w:rsid w:val="00F120C9"/>
    <w:rsid w:val="00F13366"/>
    <w:rsid w:val="00F1453E"/>
    <w:rsid w:val="00F15E7C"/>
    <w:rsid w:val="00F22A59"/>
    <w:rsid w:val="00F22F5A"/>
    <w:rsid w:val="00F2340B"/>
    <w:rsid w:val="00F25876"/>
    <w:rsid w:val="00F26783"/>
    <w:rsid w:val="00F304E3"/>
    <w:rsid w:val="00F32A36"/>
    <w:rsid w:val="00F332AA"/>
    <w:rsid w:val="00F342E7"/>
    <w:rsid w:val="00F359B4"/>
    <w:rsid w:val="00F41F1C"/>
    <w:rsid w:val="00F465C3"/>
    <w:rsid w:val="00F46678"/>
    <w:rsid w:val="00F46F2B"/>
    <w:rsid w:val="00F4744B"/>
    <w:rsid w:val="00F474D2"/>
    <w:rsid w:val="00F47C55"/>
    <w:rsid w:val="00F602A5"/>
    <w:rsid w:val="00F60512"/>
    <w:rsid w:val="00F653EF"/>
    <w:rsid w:val="00F71574"/>
    <w:rsid w:val="00F717CA"/>
    <w:rsid w:val="00F76B28"/>
    <w:rsid w:val="00F806A5"/>
    <w:rsid w:val="00F82BDF"/>
    <w:rsid w:val="00F83E5A"/>
    <w:rsid w:val="00F86B23"/>
    <w:rsid w:val="00F8799E"/>
    <w:rsid w:val="00F9566D"/>
    <w:rsid w:val="00F95CC7"/>
    <w:rsid w:val="00F95FBE"/>
    <w:rsid w:val="00F961C1"/>
    <w:rsid w:val="00FA3238"/>
    <w:rsid w:val="00FA3973"/>
    <w:rsid w:val="00FA7CCD"/>
    <w:rsid w:val="00FB05E2"/>
    <w:rsid w:val="00FB268A"/>
    <w:rsid w:val="00FB42BD"/>
    <w:rsid w:val="00FB5280"/>
    <w:rsid w:val="00FB6AFA"/>
    <w:rsid w:val="00FC07F6"/>
    <w:rsid w:val="00FC291D"/>
    <w:rsid w:val="00FC4B75"/>
    <w:rsid w:val="00FC5118"/>
    <w:rsid w:val="00FC729B"/>
    <w:rsid w:val="00FD163C"/>
    <w:rsid w:val="00FD2D69"/>
    <w:rsid w:val="00FD43DF"/>
    <w:rsid w:val="00FD6054"/>
    <w:rsid w:val="00FE0025"/>
    <w:rsid w:val="00FE30D6"/>
    <w:rsid w:val="00FE734B"/>
    <w:rsid w:val="00FE7D69"/>
    <w:rsid w:val="00FE7E1F"/>
    <w:rsid w:val="00FF13AC"/>
    <w:rsid w:val="00FF171F"/>
    <w:rsid w:val="00FF3BCB"/>
    <w:rsid w:val="00FF492C"/>
    <w:rsid w:val="00FF4A2C"/>
    <w:rsid w:val="00FF75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03CCA"/>
  <w15:docId w15:val="{41D40518-BBA8-468B-884B-0A3BDF0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B1"/>
    <w:pPr>
      <w:spacing w:line="360" w:lineRule="auto"/>
      <w:ind w:firstLine="851"/>
    </w:pPr>
    <w:rPr>
      <w:rFonts w:ascii="Verdana" w:hAnsi="Verdana"/>
      <w:szCs w:val="22"/>
      <w:lang w:eastAsia="en-US"/>
    </w:rPr>
  </w:style>
  <w:style w:type="paragraph" w:styleId="Heading1">
    <w:name w:val="heading 1"/>
    <w:basedOn w:val="Normal"/>
    <w:next w:val="Normal"/>
    <w:qFormat/>
    <w:rsid w:val="00D15CC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5CC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5CC5"/>
    <w:pPr>
      <w:keepNext/>
      <w:spacing w:before="240" w:after="60"/>
      <w:outlineLvl w:val="2"/>
    </w:pPr>
    <w:rPr>
      <w:rFonts w:ascii="Arial" w:hAnsi="Arial" w:cs="Arial"/>
      <w:b/>
      <w:bCs/>
      <w:sz w:val="26"/>
      <w:szCs w:val="26"/>
    </w:rPr>
  </w:style>
  <w:style w:type="paragraph" w:styleId="Heading4">
    <w:name w:val="heading 4"/>
    <w:basedOn w:val="Normal"/>
    <w:next w:val="Normal"/>
    <w:qFormat/>
    <w:rsid w:val="00D15CC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15CC5"/>
    <w:pPr>
      <w:spacing w:before="240" w:after="60"/>
      <w:outlineLvl w:val="4"/>
    </w:pPr>
    <w:rPr>
      <w:b/>
      <w:bCs/>
      <w:i/>
      <w:iCs/>
      <w:sz w:val="26"/>
      <w:szCs w:val="26"/>
    </w:rPr>
  </w:style>
  <w:style w:type="paragraph" w:styleId="Heading6">
    <w:name w:val="heading 6"/>
    <w:basedOn w:val="Normal"/>
    <w:next w:val="Normal"/>
    <w:qFormat/>
    <w:rsid w:val="00D15CC5"/>
    <w:pPr>
      <w:spacing w:before="240" w:after="60"/>
      <w:outlineLvl w:val="5"/>
    </w:pPr>
    <w:rPr>
      <w:rFonts w:ascii="Times New Roman" w:hAnsi="Times New Roman"/>
      <w:b/>
      <w:bCs/>
      <w:sz w:val="22"/>
    </w:rPr>
  </w:style>
  <w:style w:type="paragraph" w:styleId="Heading7">
    <w:name w:val="heading 7"/>
    <w:basedOn w:val="Normal"/>
    <w:next w:val="Normal"/>
    <w:qFormat/>
    <w:rsid w:val="00D15CC5"/>
    <w:pPr>
      <w:spacing w:before="240" w:after="60"/>
      <w:outlineLvl w:val="6"/>
    </w:pPr>
    <w:rPr>
      <w:rFonts w:ascii="Times New Roman" w:hAnsi="Times New Roman"/>
      <w:sz w:val="24"/>
      <w:szCs w:val="24"/>
    </w:rPr>
  </w:style>
  <w:style w:type="paragraph" w:styleId="Heading8">
    <w:name w:val="heading 8"/>
    <w:basedOn w:val="Normal"/>
    <w:next w:val="Normal"/>
    <w:qFormat/>
    <w:rsid w:val="00D15CC5"/>
    <w:pPr>
      <w:spacing w:before="240" w:after="60"/>
      <w:outlineLvl w:val="7"/>
    </w:pPr>
    <w:rPr>
      <w:rFonts w:ascii="Times New Roman" w:hAnsi="Times New Roman"/>
      <w:i/>
      <w:iCs/>
      <w:sz w:val="24"/>
      <w:szCs w:val="24"/>
    </w:rPr>
  </w:style>
  <w:style w:type="paragraph" w:styleId="Heading9">
    <w:name w:val="heading 9"/>
    <w:basedOn w:val="Normal"/>
    <w:next w:val="Normal"/>
    <w:qFormat/>
    <w:rsid w:val="00D15CC5"/>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B1B32"/>
    <w:pPr>
      <w:jc w:val="both"/>
    </w:pPr>
  </w:style>
  <w:style w:type="paragraph" w:customStyle="1" w:styleId="HM1">
    <w:name w:val="HM1"/>
    <w:basedOn w:val="HMstileChar"/>
    <w:next w:val="HMstileChar"/>
    <w:link w:val="HM1Char"/>
    <w:rsid w:val="00D731B1"/>
    <w:pPr>
      <w:tabs>
        <w:tab w:val="left" w:pos="1418"/>
      </w:tabs>
      <w:spacing w:before="240"/>
      <w:ind w:firstLine="0"/>
      <w:outlineLvl w:val="0"/>
    </w:pPr>
    <w:rPr>
      <w:b/>
      <w:bCs/>
      <w:caps/>
    </w:rPr>
  </w:style>
  <w:style w:type="paragraph" w:customStyle="1" w:styleId="HMstileChar">
    <w:name w:val="HM stile Char"/>
    <w:link w:val="HMstileCharChar"/>
    <w:rsid w:val="00D731B1"/>
    <w:pPr>
      <w:spacing w:line="360" w:lineRule="auto"/>
      <w:ind w:firstLine="851"/>
      <w:jc w:val="both"/>
    </w:pPr>
    <w:rPr>
      <w:rFonts w:ascii="Verdana" w:hAnsi="Verdana"/>
      <w:szCs w:val="22"/>
      <w:lang w:eastAsia="en-US"/>
    </w:rPr>
  </w:style>
  <w:style w:type="paragraph" w:customStyle="1" w:styleId="HM2">
    <w:name w:val="HM2"/>
    <w:basedOn w:val="HMstileChar"/>
    <w:link w:val="HM2Char"/>
    <w:rsid w:val="00D731B1"/>
    <w:pPr>
      <w:keepNext/>
      <w:tabs>
        <w:tab w:val="left" w:pos="1134"/>
        <w:tab w:val="left" w:pos="1418"/>
        <w:tab w:val="left" w:pos="1985"/>
      </w:tabs>
      <w:spacing w:before="120"/>
      <w:ind w:firstLine="0"/>
      <w:outlineLvl w:val="1"/>
    </w:pPr>
    <w:rPr>
      <w:b/>
      <w:bCs/>
    </w:rPr>
  </w:style>
  <w:style w:type="character" w:customStyle="1" w:styleId="HMstileCharChar">
    <w:name w:val="HM stile Char Char"/>
    <w:link w:val="HMstileChar"/>
    <w:rsid w:val="00D731B1"/>
    <w:rPr>
      <w:rFonts w:ascii="Verdana" w:hAnsi="Verdana"/>
      <w:szCs w:val="22"/>
      <w:lang w:val="bg-BG" w:eastAsia="en-US" w:bidi="ar-SA"/>
    </w:rPr>
  </w:style>
  <w:style w:type="paragraph" w:styleId="Header">
    <w:name w:val="header"/>
    <w:basedOn w:val="Normal"/>
    <w:rsid w:val="00D731B1"/>
    <w:pPr>
      <w:tabs>
        <w:tab w:val="center" w:pos="4536"/>
        <w:tab w:val="right" w:pos="9072"/>
      </w:tabs>
      <w:spacing w:line="240" w:lineRule="auto"/>
      <w:ind w:firstLine="0"/>
      <w:jc w:val="center"/>
    </w:pPr>
    <w:rPr>
      <w:b/>
    </w:rPr>
  </w:style>
  <w:style w:type="character" w:customStyle="1" w:styleId="FontStyle33">
    <w:name w:val="Font Style33"/>
    <w:rsid w:val="00D731B1"/>
    <w:rPr>
      <w:rFonts w:ascii="Verdana" w:hAnsi="Verdana" w:cs="Verdana"/>
      <w:color w:val="000000"/>
      <w:sz w:val="18"/>
      <w:szCs w:val="18"/>
    </w:rPr>
  </w:style>
  <w:style w:type="paragraph" w:customStyle="1" w:styleId="Style13">
    <w:name w:val="Style13"/>
    <w:basedOn w:val="Normal"/>
    <w:rsid w:val="00D731B1"/>
    <w:pPr>
      <w:widowControl w:val="0"/>
      <w:autoSpaceDE w:val="0"/>
      <w:autoSpaceDN w:val="0"/>
      <w:adjustRightInd w:val="0"/>
      <w:spacing w:line="240" w:lineRule="auto"/>
      <w:ind w:firstLine="0"/>
    </w:pPr>
    <w:rPr>
      <w:sz w:val="24"/>
      <w:szCs w:val="24"/>
      <w:lang w:eastAsia="bg-BG"/>
    </w:rPr>
  </w:style>
  <w:style w:type="paragraph" w:customStyle="1" w:styleId="Style6">
    <w:name w:val="Style6"/>
    <w:basedOn w:val="Normal"/>
    <w:rsid w:val="00D731B1"/>
    <w:pPr>
      <w:widowControl w:val="0"/>
      <w:autoSpaceDE w:val="0"/>
      <w:autoSpaceDN w:val="0"/>
      <w:adjustRightInd w:val="0"/>
      <w:spacing w:line="240" w:lineRule="auto"/>
      <w:ind w:firstLine="0"/>
    </w:pPr>
    <w:rPr>
      <w:sz w:val="24"/>
      <w:szCs w:val="24"/>
      <w:lang w:eastAsia="bg-BG"/>
    </w:rPr>
  </w:style>
  <w:style w:type="paragraph" w:styleId="TOC1">
    <w:name w:val="toc 1"/>
    <w:basedOn w:val="Normal"/>
    <w:next w:val="Normal"/>
    <w:uiPriority w:val="39"/>
    <w:rsid w:val="009A15E9"/>
    <w:pPr>
      <w:tabs>
        <w:tab w:val="left" w:pos="284"/>
        <w:tab w:val="left" w:pos="567"/>
        <w:tab w:val="left" w:pos="851"/>
        <w:tab w:val="right" w:leader="dot" w:pos="9639"/>
      </w:tabs>
      <w:spacing w:before="120" w:after="60" w:line="240" w:lineRule="auto"/>
      <w:ind w:left="284" w:firstLine="0"/>
    </w:pPr>
    <w:rPr>
      <w:b/>
      <w:caps/>
      <w:noProof/>
    </w:rPr>
  </w:style>
  <w:style w:type="paragraph" w:styleId="TOC2">
    <w:name w:val="toc 2"/>
    <w:basedOn w:val="Normal"/>
    <w:next w:val="Normal"/>
    <w:uiPriority w:val="39"/>
    <w:rsid w:val="009A15E9"/>
    <w:pPr>
      <w:tabs>
        <w:tab w:val="left" w:pos="1134"/>
        <w:tab w:val="left" w:pos="1418"/>
        <w:tab w:val="right" w:leader="dot" w:pos="9639"/>
      </w:tabs>
      <w:spacing w:after="40" w:line="240" w:lineRule="auto"/>
      <w:ind w:left="567" w:firstLine="0"/>
    </w:pPr>
  </w:style>
  <w:style w:type="paragraph" w:styleId="Footer">
    <w:name w:val="footer"/>
    <w:basedOn w:val="Normal"/>
    <w:link w:val="FooterChar"/>
    <w:uiPriority w:val="99"/>
    <w:rsid w:val="009A15E9"/>
    <w:pPr>
      <w:tabs>
        <w:tab w:val="center" w:pos="4536"/>
        <w:tab w:val="right" w:pos="9072"/>
      </w:tabs>
    </w:pPr>
  </w:style>
  <w:style w:type="character" w:customStyle="1" w:styleId="FontStyle29">
    <w:name w:val="Font Style29"/>
    <w:rsid w:val="005C092D"/>
    <w:rPr>
      <w:rFonts w:ascii="Verdana" w:hAnsi="Verdana" w:cs="Verdana"/>
      <w:b/>
      <w:bCs/>
      <w:color w:val="000000"/>
      <w:sz w:val="18"/>
      <w:szCs w:val="18"/>
    </w:rPr>
  </w:style>
  <w:style w:type="paragraph" w:customStyle="1" w:styleId="HMstile">
    <w:name w:val="HM stile"/>
    <w:link w:val="HMstileChar1"/>
    <w:rsid w:val="005C092D"/>
    <w:pPr>
      <w:spacing w:line="360" w:lineRule="auto"/>
      <w:ind w:firstLine="851"/>
      <w:jc w:val="both"/>
    </w:pPr>
    <w:rPr>
      <w:rFonts w:ascii="Verdana" w:hAnsi="Verdana"/>
      <w:lang w:eastAsia="en-US"/>
    </w:rPr>
  </w:style>
  <w:style w:type="table" w:styleId="TableGrid">
    <w:name w:val="Table Grid"/>
    <w:basedOn w:val="TableNormal"/>
    <w:rsid w:val="0072696A"/>
    <w:pPr>
      <w:spacing w:line="360" w:lineRule="auto"/>
      <w:ind w:firstLine="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15CC5"/>
  </w:style>
  <w:style w:type="character" w:styleId="Hyperlink">
    <w:name w:val="Hyperlink"/>
    <w:rsid w:val="009B3BA8"/>
    <w:rPr>
      <w:color w:val="0000FF"/>
      <w:u w:val="single"/>
    </w:rPr>
  </w:style>
  <w:style w:type="character" w:styleId="PageNumber">
    <w:name w:val="page number"/>
    <w:basedOn w:val="DefaultParagraphFont"/>
    <w:rsid w:val="00F60512"/>
  </w:style>
  <w:style w:type="paragraph" w:styleId="CommentText">
    <w:name w:val="annotation text"/>
    <w:basedOn w:val="Normal"/>
    <w:link w:val="CommentTextChar"/>
    <w:semiHidden/>
    <w:unhideWhenUsed/>
    <w:rsid w:val="00770FBB"/>
    <w:pPr>
      <w:spacing w:line="240" w:lineRule="auto"/>
    </w:pPr>
    <w:rPr>
      <w:szCs w:val="20"/>
      <w:lang w:val="x-none"/>
    </w:rPr>
  </w:style>
  <w:style w:type="character" w:customStyle="1" w:styleId="CommentTextChar">
    <w:name w:val="Comment Text Char"/>
    <w:link w:val="CommentText"/>
    <w:semiHidden/>
    <w:rsid w:val="00770FBB"/>
    <w:rPr>
      <w:rFonts w:ascii="Verdana" w:hAnsi="Verdana"/>
      <w:lang w:eastAsia="en-US"/>
    </w:rPr>
  </w:style>
  <w:style w:type="character" w:styleId="CommentReference">
    <w:name w:val="annotation reference"/>
    <w:semiHidden/>
    <w:rsid w:val="00770FBB"/>
    <w:rPr>
      <w:sz w:val="16"/>
      <w:szCs w:val="16"/>
    </w:rPr>
  </w:style>
  <w:style w:type="paragraph" w:styleId="BalloonText">
    <w:name w:val="Balloon Text"/>
    <w:basedOn w:val="Normal"/>
    <w:link w:val="BalloonTextChar"/>
    <w:uiPriority w:val="99"/>
    <w:semiHidden/>
    <w:unhideWhenUsed/>
    <w:rsid w:val="00770FBB"/>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770FBB"/>
    <w:rPr>
      <w:rFonts w:ascii="Tahoma" w:hAnsi="Tahoma" w:cs="Tahoma"/>
      <w:sz w:val="16"/>
      <w:szCs w:val="16"/>
      <w:lang w:eastAsia="en-US"/>
    </w:rPr>
  </w:style>
  <w:style w:type="paragraph" w:styleId="ListParagraph">
    <w:name w:val="List Paragraph"/>
    <w:basedOn w:val="Normal"/>
    <w:uiPriority w:val="34"/>
    <w:qFormat/>
    <w:rsid w:val="00783AB5"/>
    <w:pPr>
      <w:ind w:left="720"/>
      <w:contextualSpacing/>
    </w:pPr>
  </w:style>
  <w:style w:type="paragraph" w:customStyle="1" w:styleId="HM">
    <w:name w:val="HM."/>
    <w:basedOn w:val="Normal"/>
    <w:rsid w:val="00562CDF"/>
    <w:pPr>
      <w:numPr>
        <w:numId w:val="3"/>
      </w:numPr>
      <w:tabs>
        <w:tab w:val="left" w:pos="1134"/>
      </w:tabs>
      <w:jc w:val="both"/>
    </w:pPr>
    <w:rPr>
      <w:szCs w:val="20"/>
    </w:rPr>
  </w:style>
  <w:style w:type="paragraph" w:customStyle="1" w:styleId="Ref">
    <w:name w:val="Ref"/>
    <w:basedOn w:val="ListParagraph"/>
    <w:rsid w:val="00DD45F3"/>
    <w:pPr>
      <w:widowControl w:val="0"/>
      <w:numPr>
        <w:numId w:val="4"/>
      </w:numPr>
      <w:autoSpaceDE w:val="0"/>
      <w:autoSpaceDN w:val="0"/>
      <w:adjustRightInd w:val="0"/>
      <w:spacing w:line="240" w:lineRule="auto"/>
      <w:jc w:val="both"/>
    </w:pPr>
    <w:rPr>
      <w:rFonts w:ascii="Times New Roman" w:hAnsi="Times New Roman"/>
      <w:sz w:val="24"/>
      <w:szCs w:val="24"/>
      <w:lang w:eastAsia="bg-BG"/>
    </w:rPr>
  </w:style>
  <w:style w:type="character" w:styleId="FollowedHyperlink">
    <w:name w:val="FollowedHyperlink"/>
    <w:uiPriority w:val="99"/>
    <w:semiHidden/>
    <w:unhideWhenUsed/>
    <w:rsid w:val="00142F66"/>
    <w:rPr>
      <w:color w:val="800080"/>
      <w:u w:val="single"/>
    </w:rPr>
  </w:style>
  <w:style w:type="character" w:customStyle="1" w:styleId="HMstileChar1">
    <w:name w:val="HM stile Char1"/>
    <w:link w:val="HMstile"/>
    <w:rsid w:val="008B1747"/>
    <w:rPr>
      <w:rFonts w:ascii="Verdana" w:hAnsi="Verdana"/>
      <w:lang w:eastAsia="en-US"/>
    </w:rPr>
  </w:style>
  <w:style w:type="paragraph" w:customStyle="1" w:styleId="M-1">
    <w:name w:val="M-1"/>
    <w:basedOn w:val="HM1"/>
    <w:link w:val="M-1Char"/>
    <w:autoRedefine/>
    <w:qFormat/>
    <w:rsid w:val="00D46151"/>
    <w:pPr>
      <w:tabs>
        <w:tab w:val="clear" w:pos="1418"/>
      </w:tabs>
      <w:spacing w:after="120" w:line="240" w:lineRule="auto"/>
      <w:ind w:left="360"/>
    </w:pPr>
    <w:rPr>
      <w:rFonts w:ascii="Times New Roman" w:hAnsi="Times New Roman"/>
      <w:color w:val="000000"/>
      <w:sz w:val="24"/>
      <w:szCs w:val="24"/>
      <w:lang w:val="en-US"/>
    </w:rPr>
  </w:style>
  <w:style w:type="paragraph" w:customStyle="1" w:styleId="-">
    <w:name w:val="М-нормал"/>
    <w:basedOn w:val="HMstile"/>
    <w:link w:val="-Char"/>
    <w:qFormat/>
    <w:rsid w:val="00EA3BB5"/>
    <w:pPr>
      <w:spacing w:after="120" w:line="240" w:lineRule="auto"/>
    </w:pPr>
    <w:rPr>
      <w:rFonts w:ascii="Times New Roman" w:hAnsi="Times New Roman"/>
      <w:sz w:val="24"/>
    </w:rPr>
  </w:style>
  <w:style w:type="character" w:customStyle="1" w:styleId="HM1Char">
    <w:name w:val="HM1 Char"/>
    <w:link w:val="HM1"/>
    <w:rsid w:val="00554DE7"/>
    <w:rPr>
      <w:rFonts w:ascii="Verdana" w:hAnsi="Verdana"/>
      <w:b/>
      <w:bCs/>
      <w:caps/>
      <w:szCs w:val="22"/>
      <w:lang w:val="bg-BG" w:eastAsia="en-US" w:bidi="ar-SA"/>
    </w:rPr>
  </w:style>
  <w:style w:type="character" w:customStyle="1" w:styleId="M-1Char">
    <w:name w:val="M-1 Char"/>
    <w:link w:val="M-1"/>
    <w:rsid w:val="00D46151"/>
    <w:rPr>
      <w:b/>
      <w:bCs/>
      <w:caps/>
      <w:color w:val="000000"/>
      <w:sz w:val="24"/>
      <w:szCs w:val="24"/>
      <w:lang w:val="en-US" w:eastAsia="en-US"/>
    </w:rPr>
  </w:style>
  <w:style w:type="character" w:customStyle="1" w:styleId="-Char">
    <w:name w:val="М-нормал Char"/>
    <w:link w:val="-"/>
    <w:rsid w:val="00EA3BB5"/>
    <w:rPr>
      <w:sz w:val="24"/>
      <w:lang w:eastAsia="en-US"/>
    </w:rPr>
  </w:style>
  <w:style w:type="paragraph" w:customStyle="1" w:styleId="M-2">
    <w:name w:val="M-2"/>
    <w:basedOn w:val="HM2"/>
    <w:link w:val="M-2Char"/>
    <w:autoRedefine/>
    <w:qFormat/>
    <w:rsid w:val="00BB5309"/>
    <w:pPr>
      <w:tabs>
        <w:tab w:val="clear" w:pos="1134"/>
      </w:tabs>
      <w:spacing w:after="120" w:line="240" w:lineRule="auto"/>
      <w:ind w:left="1560"/>
    </w:pPr>
    <w:rPr>
      <w:rFonts w:ascii="Times New Roman" w:hAnsi="Times New Roman"/>
      <w:sz w:val="24"/>
      <w:lang w:val="en-US"/>
    </w:rPr>
  </w:style>
  <w:style w:type="paragraph" w:customStyle="1" w:styleId="M-3">
    <w:name w:val="M-3"/>
    <w:basedOn w:val="HMstile"/>
    <w:link w:val="M-3Char"/>
    <w:autoRedefine/>
    <w:qFormat/>
    <w:rsid w:val="00346FA7"/>
    <w:pPr>
      <w:spacing w:before="120" w:after="120" w:line="240" w:lineRule="auto"/>
      <w:ind w:left="1418" w:firstLine="0"/>
    </w:pPr>
    <w:rPr>
      <w:rFonts w:ascii="Times New Roman" w:hAnsi="Times New Roman"/>
      <w:b/>
      <w:sz w:val="24"/>
    </w:rPr>
  </w:style>
  <w:style w:type="character" w:customStyle="1" w:styleId="HM2Char">
    <w:name w:val="HM2 Char"/>
    <w:link w:val="HM2"/>
    <w:rsid w:val="00D57661"/>
    <w:rPr>
      <w:rFonts w:ascii="Verdana" w:hAnsi="Verdana"/>
      <w:b/>
      <w:bCs/>
      <w:szCs w:val="22"/>
      <w:lang w:val="bg-BG" w:eastAsia="en-US" w:bidi="ar-SA"/>
    </w:rPr>
  </w:style>
  <w:style w:type="character" w:customStyle="1" w:styleId="M-2Char">
    <w:name w:val="M-2 Char"/>
    <w:link w:val="M-2"/>
    <w:rsid w:val="00BB5309"/>
    <w:rPr>
      <w:b/>
      <w:bCs/>
      <w:sz w:val="24"/>
      <w:szCs w:val="22"/>
      <w:lang w:val="en-US" w:eastAsia="en-US"/>
    </w:rPr>
  </w:style>
  <w:style w:type="paragraph" w:customStyle="1" w:styleId="CharCharCharChar">
    <w:name w:val="Char Char Char Char"/>
    <w:basedOn w:val="Normal"/>
    <w:rsid w:val="009118E0"/>
    <w:pPr>
      <w:tabs>
        <w:tab w:val="left" w:pos="709"/>
      </w:tabs>
      <w:spacing w:line="240" w:lineRule="auto"/>
      <w:ind w:firstLine="0"/>
    </w:pPr>
    <w:rPr>
      <w:rFonts w:ascii="Tahoma" w:hAnsi="Tahoma"/>
      <w:sz w:val="24"/>
      <w:szCs w:val="24"/>
      <w:lang w:val="pl-PL" w:eastAsia="pl-PL"/>
    </w:rPr>
  </w:style>
  <w:style w:type="character" w:customStyle="1" w:styleId="M-3Char">
    <w:name w:val="M-3 Char"/>
    <w:link w:val="M-3"/>
    <w:rsid w:val="00346FA7"/>
    <w:rPr>
      <w:b/>
      <w:sz w:val="24"/>
      <w:lang w:eastAsia="en-US"/>
    </w:rPr>
  </w:style>
  <w:style w:type="paragraph" w:customStyle="1" w:styleId="-3">
    <w:name w:val="М-3"/>
    <w:basedOn w:val="HMstile"/>
    <w:autoRedefine/>
    <w:qFormat/>
    <w:rsid w:val="0080486D"/>
    <w:pPr>
      <w:spacing w:before="120" w:after="120" w:line="240" w:lineRule="auto"/>
      <w:ind w:left="1418" w:firstLine="0"/>
    </w:pPr>
    <w:rPr>
      <w:rFonts w:ascii="Times New Roman" w:hAnsi="Times New Roman"/>
      <w:b/>
      <w:sz w:val="24"/>
      <w:szCs w:val="24"/>
    </w:rPr>
  </w:style>
  <w:style w:type="paragraph" w:customStyle="1" w:styleId="-1">
    <w:name w:val="М-1"/>
    <w:basedOn w:val="HM1"/>
    <w:link w:val="-1Char"/>
    <w:qFormat/>
    <w:rsid w:val="0080486D"/>
    <w:pPr>
      <w:tabs>
        <w:tab w:val="clear" w:pos="1418"/>
      </w:tabs>
    </w:pPr>
    <w:rPr>
      <w:rFonts w:ascii="Times New Roman" w:hAnsi="Times New Roman"/>
      <w:sz w:val="24"/>
      <w:szCs w:val="24"/>
    </w:rPr>
  </w:style>
  <w:style w:type="character" w:customStyle="1" w:styleId="-1Char">
    <w:name w:val="М-1 Char"/>
    <w:link w:val="-1"/>
    <w:rsid w:val="0080486D"/>
    <w:rPr>
      <w:b/>
      <w:bCs/>
      <w:caps/>
      <w:sz w:val="24"/>
      <w:szCs w:val="24"/>
      <w:lang w:eastAsia="en-US"/>
    </w:rPr>
  </w:style>
  <w:style w:type="paragraph" w:customStyle="1" w:styleId="-2">
    <w:name w:val="М-2"/>
    <w:basedOn w:val="HM2"/>
    <w:link w:val="-2Char"/>
    <w:autoRedefine/>
    <w:qFormat/>
    <w:rsid w:val="00642204"/>
    <w:pPr>
      <w:spacing w:after="120" w:line="240" w:lineRule="auto"/>
    </w:pPr>
    <w:rPr>
      <w:rFonts w:ascii="Times New Roman" w:hAnsi="Times New Roman"/>
      <w:sz w:val="24"/>
      <w:szCs w:val="24"/>
    </w:rPr>
  </w:style>
  <w:style w:type="character" w:customStyle="1" w:styleId="-2Char">
    <w:name w:val="М-2 Char"/>
    <w:link w:val="-2"/>
    <w:rsid w:val="00D1123E"/>
    <w:rPr>
      <w:b/>
      <w:bCs/>
      <w:sz w:val="24"/>
      <w:szCs w:val="24"/>
      <w:lang w:eastAsia="en-US"/>
    </w:rPr>
  </w:style>
  <w:style w:type="character" w:customStyle="1" w:styleId="FontStyle12">
    <w:name w:val="Font Style12"/>
    <w:rsid w:val="00575848"/>
    <w:rPr>
      <w:rFonts w:ascii="MS Reference Sans Serif" w:hAnsi="MS Reference Sans Serif" w:cs="MS Reference Sans Serif"/>
      <w:sz w:val="18"/>
      <w:szCs w:val="18"/>
    </w:rPr>
  </w:style>
  <w:style w:type="character" w:customStyle="1" w:styleId="FooterChar">
    <w:name w:val="Footer Char"/>
    <w:basedOn w:val="DefaultParagraphFont"/>
    <w:link w:val="Footer"/>
    <w:uiPriority w:val="99"/>
    <w:rsid w:val="001D6F16"/>
    <w:rPr>
      <w:rFonts w:ascii="Verdana" w:hAnsi="Verdana"/>
      <w:szCs w:val="22"/>
      <w:lang w:eastAsia="en-US"/>
    </w:rPr>
  </w:style>
  <w:style w:type="paragraph" w:customStyle="1" w:styleId="Char1CharChar">
    <w:name w:val=" Char1 Char Char"/>
    <w:basedOn w:val="Normal"/>
    <w:autoRedefine/>
    <w:rsid w:val="00AD7865"/>
    <w:pPr>
      <w:spacing w:after="120" w:line="240" w:lineRule="auto"/>
      <w:ind w:firstLine="0"/>
    </w:pPr>
    <w:rPr>
      <w:rFonts w:ascii="Futura Bk" w:hAnsi="Futura Bk"/>
      <w:szCs w:val="24"/>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7084">
      <w:bodyDiv w:val="1"/>
      <w:marLeft w:val="0"/>
      <w:marRight w:val="0"/>
      <w:marTop w:val="0"/>
      <w:marBottom w:val="0"/>
      <w:divBdr>
        <w:top w:val="none" w:sz="0" w:space="0" w:color="auto"/>
        <w:left w:val="none" w:sz="0" w:space="0" w:color="auto"/>
        <w:bottom w:val="none" w:sz="0" w:space="0" w:color="auto"/>
        <w:right w:val="none" w:sz="0" w:space="0" w:color="auto"/>
      </w:divBdr>
    </w:div>
    <w:div w:id="645739035">
      <w:bodyDiv w:val="1"/>
      <w:marLeft w:val="0"/>
      <w:marRight w:val="0"/>
      <w:marTop w:val="0"/>
      <w:marBottom w:val="0"/>
      <w:divBdr>
        <w:top w:val="none" w:sz="0" w:space="0" w:color="auto"/>
        <w:left w:val="none" w:sz="0" w:space="0" w:color="auto"/>
        <w:bottom w:val="none" w:sz="0" w:space="0" w:color="auto"/>
        <w:right w:val="none" w:sz="0" w:space="0" w:color="auto"/>
      </w:divBdr>
    </w:div>
    <w:div w:id="1011377253">
      <w:bodyDiv w:val="1"/>
      <w:marLeft w:val="0"/>
      <w:marRight w:val="0"/>
      <w:marTop w:val="0"/>
      <w:marBottom w:val="0"/>
      <w:divBdr>
        <w:top w:val="none" w:sz="0" w:space="0" w:color="auto"/>
        <w:left w:val="none" w:sz="0" w:space="0" w:color="auto"/>
        <w:bottom w:val="none" w:sz="0" w:space="0" w:color="auto"/>
        <w:right w:val="none" w:sz="0" w:space="0" w:color="auto"/>
      </w:divBdr>
    </w:div>
    <w:div w:id="1233813404">
      <w:bodyDiv w:val="1"/>
      <w:marLeft w:val="0"/>
      <w:marRight w:val="0"/>
      <w:marTop w:val="0"/>
      <w:marBottom w:val="0"/>
      <w:divBdr>
        <w:top w:val="none" w:sz="0" w:space="0" w:color="auto"/>
        <w:left w:val="none" w:sz="0" w:space="0" w:color="auto"/>
        <w:bottom w:val="none" w:sz="0" w:space="0" w:color="auto"/>
        <w:right w:val="none" w:sz="0" w:space="0" w:color="auto"/>
      </w:divBdr>
    </w:div>
    <w:div w:id="1553811557">
      <w:bodyDiv w:val="1"/>
      <w:marLeft w:val="0"/>
      <w:marRight w:val="0"/>
      <w:marTop w:val="0"/>
      <w:marBottom w:val="0"/>
      <w:divBdr>
        <w:top w:val="none" w:sz="0" w:space="0" w:color="auto"/>
        <w:left w:val="none" w:sz="0" w:space="0" w:color="auto"/>
        <w:bottom w:val="none" w:sz="0" w:space="0" w:color="auto"/>
        <w:right w:val="none" w:sz="0" w:space="0" w:color="auto"/>
      </w:divBdr>
    </w:div>
    <w:div w:id="1668631244">
      <w:bodyDiv w:val="1"/>
      <w:marLeft w:val="0"/>
      <w:marRight w:val="0"/>
      <w:marTop w:val="0"/>
      <w:marBottom w:val="0"/>
      <w:divBdr>
        <w:top w:val="none" w:sz="0" w:space="0" w:color="auto"/>
        <w:left w:val="none" w:sz="0" w:space="0" w:color="auto"/>
        <w:bottom w:val="none" w:sz="0" w:space="0" w:color="auto"/>
        <w:right w:val="none" w:sz="0" w:space="0" w:color="auto"/>
      </w:divBdr>
    </w:div>
    <w:div w:id="192769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FA00B-64FF-48C1-BF88-F690FDB0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20</Pages>
  <Words>8981</Words>
  <Characters>51195</Characters>
  <Application>Microsoft Office Word</Application>
  <DocSecurity>0</DocSecurity>
  <Lines>426</Lines>
  <Paragraphs>120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ОТЧЕТ</vt:lpstr>
      <vt:lpstr>ОТЧЕТ</vt:lpstr>
    </vt:vector>
  </TitlesOfParts>
  <Company>Kozloduy NPP Plc.</Company>
  <LinksUpToDate>false</LinksUpToDate>
  <CharactersWithSpaces>60056</CharactersWithSpaces>
  <SharedDoc>false</SharedDoc>
  <HLinks>
    <vt:vector size="12" baseType="variant">
      <vt:variant>
        <vt:i4>71631924</vt:i4>
      </vt:variant>
      <vt:variant>
        <vt:i4>60</vt:i4>
      </vt:variant>
      <vt:variant>
        <vt:i4>0</vt:i4>
      </vt:variant>
      <vt:variant>
        <vt:i4>5</vt:i4>
      </vt:variant>
      <vt:variant>
        <vt:lpwstr/>
      </vt:variant>
      <vt:variant>
        <vt:lpwstr>приложение2</vt:lpwstr>
      </vt:variant>
      <vt:variant>
        <vt:i4>71631924</vt:i4>
      </vt:variant>
      <vt:variant>
        <vt:i4>57</vt:i4>
      </vt:variant>
      <vt:variant>
        <vt:i4>0</vt:i4>
      </vt:variant>
      <vt:variant>
        <vt:i4>5</vt:i4>
      </vt:variant>
      <vt:variant>
        <vt:lpwstr/>
      </vt:variant>
      <vt:variant>
        <vt:lpwstr>приложение1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vdignatova</dc:creator>
  <cp:lastModifiedBy>Windows User</cp:lastModifiedBy>
  <cp:revision>6</cp:revision>
  <cp:lastPrinted>2019-03-12T12:59:00Z</cp:lastPrinted>
  <dcterms:created xsi:type="dcterms:W3CDTF">2019-03-14T10:57:00Z</dcterms:created>
  <dcterms:modified xsi:type="dcterms:W3CDTF">2019-03-14T13:28:00Z</dcterms:modified>
</cp:coreProperties>
</file>